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_Toc1281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_Toc1708 </w:instrText>
          </w:r>
          <w:r>
            <w:rPr>
              <w:bCs/>
            </w:rPr>
            <w:fldChar w:fldCharType="separate"/>
          </w:r>
          <w:r>
            <w:rPr>
              <w:rFonts w:hint="eastAsia" w:ascii="Times New Roman" w:hAnsi="Times New Roman" w:eastAsia="楷体"/>
              <w:szCs w:val="24"/>
            </w:rPr>
            <w:t>股指：震荡</w:t>
          </w:r>
          <w:r>
            <w:rPr>
              <w:bCs/>
            </w:rPr>
            <w:fldChar w:fldCharType="end"/>
          </w:r>
        </w:p>
        <w:p>
          <w:pPr>
            <w:pStyle w:val="59"/>
            <w:tabs>
              <w:tab w:val="right" w:leader="dot" w:pos="8306"/>
            </w:tabs>
          </w:pPr>
          <w:r>
            <w:rPr>
              <w:bCs/>
            </w:rPr>
            <w:fldChar w:fldCharType="begin"/>
          </w:r>
          <w:r>
            <w:rPr>
              <w:bCs/>
            </w:rPr>
            <w:instrText xml:space="preserve"> HYPERLINK \l _Toc12443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_Toc30123 </w:instrText>
          </w:r>
          <w:r>
            <w:rPr>
              <w:bCs/>
            </w:rPr>
            <w:fldChar w:fldCharType="separate"/>
          </w:r>
          <w:r>
            <w:rPr>
              <w:rFonts w:hint="eastAsia" w:ascii="Times New Roman" w:hAnsi="Times New Roman" w:eastAsia="楷体"/>
              <w:szCs w:val="24"/>
            </w:rPr>
            <w:t>贵金属：美元指数走强，贵金属价格下跌</w:t>
          </w:r>
          <w:r>
            <w:rPr>
              <w:bCs/>
            </w:rPr>
            <w:fldChar w:fldCharType="end"/>
          </w:r>
        </w:p>
        <w:p>
          <w:pPr>
            <w:pStyle w:val="59"/>
            <w:tabs>
              <w:tab w:val="right" w:leader="dot" w:pos="8306"/>
            </w:tabs>
          </w:pPr>
          <w:r>
            <w:rPr>
              <w:bCs/>
            </w:rPr>
            <w:fldChar w:fldCharType="begin"/>
          </w:r>
          <w:r>
            <w:rPr>
              <w:bCs/>
            </w:rPr>
            <w:instrText xml:space="preserve"> HYPERLINK \l _Toc11981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_Toc14243 </w:instrText>
          </w:r>
          <w:r>
            <w:rPr>
              <w:bCs/>
            </w:rPr>
            <w:fldChar w:fldCharType="separate"/>
          </w:r>
          <w:r>
            <w:rPr>
              <w:rFonts w:hint="eastAsia" w:ascii="楷体" w:hAnsi="楷体" w:eastAsia="楷体"/>
              <w:szCs w:val="24"/>
            </w:rPr>
            <w:t>碳酸锂：下游排产预期上行，期价上涨</w:t>
          </w:r>
          <w:r>
            <w:rPr>
              <w:bCs/>
            </w:rPr>
            <w:fldChar w:fldCharType="end"/>
          </w:r>
        </w:p>
        <w:p>
          <w:pPr>
            <w:pStyle w:val="74"/>
            <w:tabs>
              <w:tab w:val="right" w:leader="dot" w:pos="8306"/>
            </w:tabs>
          </w:pPr>
          <w:r>
            <w:rPr>
              <w:bCs/>
            </w:rPr>
            <w:fldChar w:fldCharType="begin"/>
          </w:r>
          <w:r>
            <w:rPr>
              <w:bCs/>
            </w:rPr>
            <w:instrText xml:space="preserve"> HYPERLINK \l _Toc22751 </w:instrText>
          </w:r>
          <w:r>
            <w:rPr>
              <w:bCs/>
            </w:rPr>
            <w:fldChar w:fldCharType="separate"/>
          </w:r>
          <w:r>
            <w:rPr>
              <w:rFonts w:hint="eastAsia" w:ascii="楷体" w:hAnsi="楷体" w:eastAsia="楷体"/>
              <w:szCs w:val="24"/>
            </w:rPr>
            <w:t>铝：原料紧缺格局未改，铝价暂看幅度回调</w:t>
          </w:r>
          <w:r>
            <w:rPr>
              <w:bCs/>
            </w:rPr>
            <w:fldChar w:fldCharType="end"/>
          </w:r>
        </w:p>
        <w:p>
          <w:pPr>
            <w:pStyle w:val="74"/>
            <w:tabs>
              <w:tab w:val="right" w:leader="dot" w:pos="8306"/>
            </w:tabs>
          </w:pPr>
          <w:r>
            <w:rPr>
              <w:bCs/>
            </w:rPr>
            <w:fldChar w:fldCharType="begin"/>
          </w:r>
          <w:r>
            <w:rPr>
              <w:bCs/>
            </w:rPr>
            <w:instrText xml:space="preserve"> HYPERLINK \l _Toc30882 </w:instrText>
          </w:r>
          <w:r>
            <w:rPr>
              <w:bCs/>
            </w:rPr>
            <w:fldChar w:fldCharType="separate"/>
          </w:r>
          <w:r>
            <w:rPr>
              <w:rFonts w:hint="eastAsia" w:ascii="楷体" w:hAnsi="楷体" w:eastAsia="楷体"/>
              <w:szCs w:val="24"/>
            </w:rPr>
            <w:t>锌：震荡格局未改</w:t>
          </w:r>
          <w:r>
            <w:rPr>
              <w:bCs/>
            </w:rPr>
            <w:fldChar w:fldCharType="end"/>
          </w:r>
        </w:p>
        <w:p>
          <w:pPr>
            <w:pStyle w:val="74"/>
            <w:tabs>
              <w:tab w:val="right" w:leader="dot" w:pos="8306"/>
            </w:tabs>
          </w:pPr>
          <w:r>
            <w:rPr>
              <w:bCs/>
            </w:rPr>
            <w:fldChar w:fldCharType="begin"/>
          </w:r>
          <w:r>
            <w:rPr>
              <w:bCs/>
            </w:rPr>
            <w:instrText xml:space="preserve"> HYPERLINK \l _Toc10981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：强势美指压制短期铜价震荡偏弱运行</w:t>
          </w:r>
          <w:r>
            <w:rPr>
              <w:bCs/>
            </w:rPr>
            <w:fldChar w:fldCharType="end"/>
          </w:r>
        </w:p>
        <w:p>
          <w:pPr>
            <w:pStyle w:val="74"/>
            <w:tabs>
              <w:tab w:val="right" w:leader="dot" w:pos="8306"/>
            </w:tabs>
          </w:pPr>
          <w:r>
            <w:rPr>
              <w:bCs/>
            </w:rPr>
            <w:fldChar w:fldCharType="begin"/>
          </w:r>
          <w:r>
            <w:rPr>
              <w:bCs/>
            </w:rPr>
            <w:instrText xml:space="preserve"> HYPERLINK \l _Toc19365 </w:instrText>
          </w:r>
          <w:r>
            <w:rPr>
              <w:bCs/>
            </w:rPr>
            <w:fldChar w:fldCharType="separate"/>
          </w:r>
          <w:r>
            <w:rPr>
              <w:rFonts w:hint="eastAsia" w:ascii="楷体" w:hAnsi="楷体" w:eastAsia="楷体"/>
              <w:szCs w:val="24"/>
            </w:rPr>
            <w:t>镍：短期镍价或震荡偏弱，警惕印尼新政扰动</w:t>
          </w:r>
          <w:r>
            <w:rPr>
              <w:bCs/>
            </w:rPr>
            <w:fldChar w:fldCharType="end"/>
          </w:r>
        </w:p>
        <w:p>
          <w:pPr>
            <w:pStyle w:val="74"/>
            <w:tabs>
              <w:tab w:val="right" w:leader="dot" w:pos="8306"/>
            </w:tabs>
          </w:pPr>
          <w:r>
            <w:rPr>
              <w:bCs/>
            </w:rPr>
            <w:fldChar w:fldCharType="begin"/>
          </w:r>
          <w:r>
            <w:rPr>
              <w:bCs/>
            </w:rPr>
            <w:instrText xml:space="preserve"> HYPERLINK \l _Toc15932 </w:instrText>
          </w:r>
          <w:r>
            <w:rPr>
              <w:bCs/>
            </w:rPr>
            <w:fldChar w:fldCharType="separate"/>
          </w:r>
          <w:r>
            <w:rPr>
              <w:rFonts w:hint="eastAsia" w:ascii="楷体" w:hAnsi="楷体" w:eastAsia="楷体"/>
              <w:szCs w:val="24"/>
            </w:rPr>
            <w:t>锡：震荡偏弱</w:t>
          </w:r>
          <w:r>
            <w:rPr>
              <w:bCs/>
            </w:rPr>
            <w:fldChar w:fldCharType="end"/>
          </w:r>
        </w:p>
        <w:p>
          <w:pPr>
            <w:pStyle w:val="74"/>
            <w:tabs>
              <w:tab w:val="right" w:leader="dot" w:pos="8306"/>
            </w:tabs>
          </w:pPr>
          <w:r>
            <w:rPr>
              <w:bCs/>
            </w:rPr>
            <w:fldChar w:fldCharType="begin"/>
          </w:r>
          <w:r>
            <w:rPr>
              <w:bCs/>
            </w:rPr>
            <w:instrText xml:space="preserve"> HYPERLINK \l _Toc13727 </w:instrText>
          </w:r>
          <w:r>
            <w:rPr>
              <w:bCs/>
            </w:rPr>
            <w:fldChar w:fldCharType="separate"/>
          </w:r>
          <w:r>
            <w:rPr>
              <w:rFonts w:hint="eastAsia" w:ascii="楷体" w:hAnsi="楷体" w:eastAsia="楷体"/>
              <w:szCs w:val="24"/>
            </w:rPr>
            <w:t>铅：污染天气或频发，支撑铅价</w:t>
          </w:r>
          <w:r>
            <w:rPr>
              <w:bCs/>
            </w:rPr>
            <w:fldChar w:fldCharType="end"/>
          </w:r>
        </w:p>
        <w:p>
          <w:pPr>
            <w:pStyle w:val="74"/>
            <w:tabs>
              <w:tab w:val="right" w:leader="dot" w:pos="8306"/>
            </w:tabs>
          </w:pPr>
          <w:r>
            <w:rPr>
              <w:bCs/>
            </w:rPr>
            <w:fldChar w:fldCharType="begin"/>
          </w:r>
          <w:r>
            <w:rPr>
              <w:bCs/>
            </w:rPr>
            <w:instrText xml:space="preserve"> HYPERLINK \l _Toc14572 </w:instrText>
          </w:r>
          <w:r>
            <w:rPr>
              <w:bCs/>
            </w:rPr>
            <w:fldChar w:fldCharType="separate"/>
          </w:r>
          <w:r>
            <w:rPr>
              <w:rFonts w:hint="eastAsia" w:ascii="楷体" w:hAnsi="楷体" w:eastAsia="楷体"/>
              <w:szCs w:val="24"/>
            </w:rPr>
            <w:t>不锈钢：成本支撑下移，期价或偏弱运行</w:t>
          </w:r>
          <w:r>
            <w:rPr>
              <w:bCs/>
            </w:rPr>
            <w:fldChar w:fldCharType="end"/>
          </w:r>
        </w:p>
        <w:p>
          <w:pPr>
            <w:pStyle w:val="74"/>
            <w:tabs>
              <w:tab w:val="right" w:leader="dot" w:pos="8306"/>
            </w:tabs>
          </w:pPr>
          <w:r>
            <w:rPr>
              <w:bCs/>
            </w:rPr>
            <w:fldChar w:fldCharType="begin"/>
          </w:r>
          <w:r>
            <w:rPr>
              <w:bCs/>
            </w:rPr>
            <w:instrText xml:space="preserve"> HYPERLINK \l _Toc11735 </w:instrText>
          </w:r>
          <w:r>
            <w:rPr>
              <w:bCs/>
            </w:rPr>
            <w:fldChar w:fldCharType="separate"/>
          </w:r>
          <w:r>
            <w:rPr>
              <w:rFonts w:hint="eastAsia" w:ascii="楷体" w:hAnsi="楷体" w:eastAsia="楷体"/>
              <w:szCs w:val="24"/>
            </w:rPr>
            <w:t>工业硅：供需双弱格局，基本面改善有限</w:t>
          </w:r>
          <w:r>
            <w:rPr>
              <w:bCs/>
            </w:rPr>
            <w:fldChar w:fldCharType="end"/>
          </w:r>
        </w:p>
        <w:p>
          <w:pPr>
            <w:pStyle w:val="74"/>
            <w:tabs>
              <w:tab w:val="right" w:leader="dot" w:pos="8306"/>
            </w:tabs>
          </w:pPr>
          <w:r>
            <w:rPr>
              <w:bCs/>
            </w:rPr>
            <w:fldChar w:fldCharType="begin"/>
          </w:r>
          <w:r>
            <w:rPr>
              <w:bCs/>
            </w:rPr>
            <w:instrText xml:space="preserve"> HYPERLINK \l _Toc24850 </w:instrText>
          </w:r>
          <w:r>
            <w:rPr>
              <w:bCs/>
            </w:rPr>
            <w:fldChar w:fldCharType="separate"/>
          </w:r>
          <w:r>
            <w:rPr>
              <w:rFonts w:hint="eastAsia" w:ascii="楷体" w:hAnsi="楷体" w:eastAsia="楷体"/>
              <w:szCs w:val="24"/>
            </w:rPr>
            <w:t>螺纹钢：季节性淡季来临，盘面将偏弱运行</w:t>
          </w:r>
          <w:r>
            <w:rPr>
              <w:bCs/>
            </w:rPr>
            <w:fldChar w:fldCharType="end"/>
          </w:r>
        </w:p>
        <w:p>
          <w:pPr>
            <w:pStyle w:val="59"/>
            <w:tabs>
              <w:tab w:val="right" w:leader="dot" w:pos="8306"/>
            </w:tabs>
          </w:pPr>
          <w:r>
            <w:rPr>
              <w:bCs/>
            </w:rPr>
            <w:fldChar w:fldCharType="begin"/>
          </w:r>
          <w:r>
            <w:rPr>
              <w:bCs/>
            </w:rPr>
            <w:instrText xml:space="preserve"> HYPERLINK \l _Toc9754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_Toc15562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宏观不及预期成本有所松动 天胶价格出现回调</w:t>
          </w:r>
          <w:r>
            <w:rPr>
              <w:bCs/>
            </w:rPr>
            <w:fldChar w:fldCharType="end"/>
          </w:r>
        </w:p>
        <w:p>
          <w:pPr>
            <w:pStyle w:val="74"/>
            <w:tabs>
              <w:tab w:val="right" w:leader="dot" w:pos="8306"/>
            </w:tabs>
          </w:pPr>
          <w:r>
            <w:rPr>
              <w:bCs/>
            </w:rPr>
            <w:fldChar w:fldCharType="begin"/>
          </w:r>
          <w:r>
            <w:rPr>
              <w:bCs/>
            </w:rPr>
            <w:instrText xml:space="preserve"> HYPERLINK \l _Toc401 </w:instrText>
          </w:r>
          <w:r>
            <w:rPr>
              <w:bCs/>
            </w:rPr>
            <w:fldChar w:fldCharType="separate"/>
          </w:r>
          <w:r>
            <w:rPr>
              <w:rFonts w:hint="eastAsia" w:ascii="Times New Roman" w:hAnsi="Times New Roman" w:eastAsia="楷体"/>
              <w:szCs w:val="24"/>
            </w:rPr>
            <w:t>聚烯烃：聚烯烃随成本端原油调整为主</w:t>
          </w:r>
          <w:r>
            <w:rPr>
              <w:bCs/>
            </w:rPr>
            <w:fldChar w:fldCharType="end"/>
          </w:r>
        </w:p>
        <w:p>
          <w:pPr>
            <w:pStyle w:val="74"/>
            <w:tabs>
              <w:tab w:val="right" w:leader="dot" w:pos="8306"/>
            </w:tabs>
          </w:pPr>
          <w:r>
            <w:rPr>
              <w:bCs/>
            </w:rPr>
            <w:fldChar w:fldCharType="begin"/>
          </w:r>
          <w:r>
            <w:rPr>
              <w:bCs/>
            </w:rPr>
            <w:instrText xml:space="preserve"> HYPERLINK \l _Toc10796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_Toc22333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_Toc30801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_Toc1387 </w:instrText>
          </w:r>
          <w:r>
            <w:rPr>
              <w:bCs/>
            </w:rPr>
            <w:fldChar w:fldCharType="separate"/>
          </w:r>
          <w:r>
            <w:rPr>
              <w:rFonts w:hint="eastAsia" w:ascii="Times New Roman" w:hAnsi="Times New Roman" w:eastAsia="楷体"/>
              <w:szCs w:val="24"/>
            </w:rPr>
            <w:t>PTA：跟随宏观及成本端波动</w:t>
          </w:r>
          <w:r>
            <w:rPr>
              <w:bCs/>
            </w:rPr>
            <w:fldChar w:fldCharType="end"/>
          </w:r>
        </w:p>
        <w:p>
          <w:pPr>
            <w:pStyle w:val="74"/>
            <w:tabs>
              <w:tab w:val="right" w:leader="dot" w:pos="8306"/>
            </w:tabs>
          </w:pPr>
          <w:r>
            <w:rPr>
              <w:bCs/>
            </w:rPr>
            <w:fldChar w:fldCharType="begin"/>
          </w:r>
          <w:r>
            <w:rPr>
              <w:bCs/>
            </w:rPr>
            <w:instrText xml:space="preserve"> HYPERLINK \l _Toc4490 </w:instrText>
          </w:r>
          <w:r>
            <w:rPr>
              <w:bCs/>
            </w:rPr>
            <w:fldChar w:fldCharType="separate"/>
          </w:r>
          <w:r>
            <w:rPr>
              <w:rFonts w:hint="eastAsia" w:ascii="Times New Roman" w:hAnsi="Times New Roman" w:eastAsia="楷体"/>
              <w:szCs w:val="24"/>
            </w:rPr>
            <w:t>乙二醇：到港增多及供应恢复 二醇走势承压</w:t>
          </w:r>
          <w:r>
            <w:rPr>
              <w:bCs/>
            </w:rPr>
            <w:fldChar w:fldCharType="end"/>
          </w:r>
        </w:p>
        <w:p>
          <w:pPr>
            <w:pStyle w:val="59"/>
            <w:tabs>
              <w:tab w:val="right" w:leader="dot" w:pos="8306"/>
            </w:tabs>
          </w:pPr>
          <w:r>
            <w:rPr>
              <w:bCs/>
            </w:rPr>
            <w:fldChar w:fldCharType="begin"/>
          </w:r>
          <w:r>
            <w:rPr>
              <w:bCs/>
            </w:rPr>
            <w:instrText xml:space="preserve"> HYPERLINK \l _Toc1432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_Toc2081 </w:instrText>
          </w:r>
          <w:r>
            <w:rPr>
              <w:bCs/>
            </w:rPr>
            <w:fldChar w:fldCharType="separate"/>
          </w:r>
          <w:r>
            <w:rPr>
              <w:rFonts w:hint="eastAsia" w:ascii="楷体" w:hAnsi="楷体" w:eastAsia="楷体"/>
              <w:bCs/>
            </w:rPr>
            <w:t>玉米与淀粉：</w:t>
          </w:r>
          <w:r>
            <w:rPr>
              <w:rFonts w:hint="eastAsia" w:ascii="楷体" w:hAnsi="楷体" w:eastAsia="楷体"/>
            </w:rPr>
            <w:t>期价震荡运行</w:t>
          </w:r>
          <w:r>
            <w:rPr>
              <w:bCs/>
            </w:rPr>
            <w:fldChar w:fldCharType="end"/>
          </w:r>
        </w:p>
        <w:p>
          <w:pPr>
            <w:pStyle w:val="74"/>
            <w:tabs>
              <w:tab w:val="right" w:leader="dot" w:pos="8306"/>
            </w:tabs>
          </w:pPr>
          <w:r>
            <w:rPr>
              <w:bCs/>
            </w:rPr>
            <w:fldChar w:fldCharType="begin"/>
          </w:r>
          <w:r>
            <w:rPr>
              <w:bCs/>
            </w:rPr>
            <w:instrText xml:space="preserve"> HYPERLINK \l _Toc11419 </w:instrText>
          </w:r>
          <w:r>
            <w:rPr>
              <w:bCs/>
            </w:rPr>
            <w:fldChar w:fldCharType="separate"/>
          </w:r>
          <w:r>
            <w:rPr>
              <w:rFonts w:hint="eastAsia" w:ascii="楷体" w:hAnsi="楷体" w:eastAsia="楷体"/>
              <w:bCs/>
            </w:rPr>
            <w:t>畜禽养殖：鸡蛋期价弱势震荡</w:t>
          </w:r>
          <w:r>
            <w:rPr>
              <w:bCs/>
            </w:rPr>
            <w:fldChar w:fldCharType="end"/>
          </w:r>
        </w:p>
        <w:p>
          <w:pPr>
            <w:pStyle w:val="74"/>
            <w:tabs>
              <w:tab w:val="right" w:leader="dot" w:pos="8306"/>
            </w:tabs>
          </w:pPr>
          <w:r>
            <w:rPr>
              <w:bCs/>
            </w:rPr>
            <w:fldChar w:fldCharType="begin"/>
          </w:r>
          <w:r>
            <w:rPr>
              <w:bCs/>
            </w:rPr>
            <w:instrText xml:space="preserve"> HYPERLINK \l _Toc8803 </w:instrText>
          </w:r>
          <w:r>
            <w:rPr>
              <w:bCs/>
            </w:rPr>
            <w:fldChar w:fldCharType="separate"/>
          </w:r>
          <w:r>
            <w:rPr>
              <w:rFonts w:hint="eastAsia" w:ascii="楷体" w:hAnsi="楷体" w:eastAsia="楷体"/>
              <w:bCs/>
            </w:rPr>
            <w:t>白糖：内外糖价高位区间宽幅震荡整理</w:t>
          </w:r>
          <w:r>
            <w:rPr>
              <w:bCs/>
            </w:rPr>
            <w:fldChar w:fldCharType="end"/>
          </w:r>
        </w:p>
        <w:p>
          <w:pPr>
            <w:pStyle w:val="74"/>
            <w:tabs>
              <w:tab w:val="right" w:leader="dot" w:pos="8306"/>
            </w:tabs>
          </w:pPr>
          <w:r>
            <w:rPr>
              <w:bCs/>
            </w:rPr>
            <w:fldChar w:fldCharType="begin"/>
          </w:r>
          <w:r>
            <w:rPr>
              <w:bCs/>
            </w:rPr>
            <w:instrText xml:space="preserve"> HYPERLINK \l _Toc8470 </w:instrText>
          </w:r>
          <w:r>
            <w:rPr>
              <w:bCs/>
            </w:rPr>
            <w:fldChar w:fldCharType="separate"/>
          </w:r>
          <w:r>
            <w:rPr>
              <w:rFonts w:hint="eastAsia" w:ascii="楷体" w:hAnsi="楷体" w:eastAsia="楷体"/>
              <w:bCs/>
            </w:rPr>
            <w:t>棉花：</w:t>
          </w:r>
          <w:r>
            <w:rPr>
              <w:rFonts w:hint="eastAsia" w:ascii="楷体" w:hAnsi="楷体" w:eastAsia="楷体"/>
              <w:bCs/>
              <w:lang w:val="en-US" w:eastAsia="zh-CN"/>
            </w:rPr>
            <w:t>内外棉价震荡整理</w:t>
          </w:r>
          <w:r>
            <w:rPr>
              <w:bCs/>
            </w:rPr>
            <w:fldChar w:fldCharType="end"/>
          </w:r>
        </w:p>
        <w:p>
          <w:pPr>
            <w:pStyle w:val="74"/>
            <w:tabs>
              <w:tab w:val="right" w:leader="dot" w:pos="8306"/>
            </w:tabs>
          </w:pPr>
          <w:r>
            <w:rPr>
              <w:bCs/>
            </w:rPr>
            <w:fldChar w:fldCharType="begin"/>
          </w:r>
          <w:r>
            <w:rPr>
              <w:bCs/>
            </w:rPr>
            <w:instrText xml:space="preserve"> HYPERLINK \l _Toc10184 </w:instrText>
          </w:r>
          <w:r>
            <w:rPr>
              <w:bCs/>
            </w:rPr>
            <w:fldChar w:fldCharType="separate"/>
          </w:r>
          <w:r>
            <w:rPr>
              <w:rFonts w:hint="eastAsia" w:ascii="楷体" w:hAnsi="楷体" w:eastAsia="楷体"/>
              <w:bCs/>
            </w:rPr>
            <w:t>苹果：次优果价格再次试涨，苹果震荡偏强</w:t>
          </w:r>
          <w:r>
            <w:rPr>
              <w:bCs/>
            </w:rPr>
            <w:fldChar w:fldCharType="end"/>
          </w:r>
        </w:p>
        <w:p>
          <w:pPr>
            <w:pStyle w:val="74"/>
            <w:tabs>
              <w:tab w:val="right" w:leader="dot" w:pos="8306"/>
            </w:tabs>
          </w:pPr>
          <w:r>
            <w:rPr>
              <w:bCs/>
            </w:rPr>
            <w:fldChar w:fldCharType="begin"/>
          </w:r>
          <w:r>
            <w:rPr>
              <w:bCs/>
            </w:rPr>
            <w:instrText xml:space="preserve"> HYPERLINK \l _Toc25214 </w:instrText>
          </w:r>
          <w:r>
            <w:rPr>
              <w:bCs/>
            </w:rPr>
            <w:fldChar w:fldCharType="separate"/>
          </w:r>
          <w:r>
            <w:rPr>
              <w:rFonts w:hint="eastAsia" w:ascii="楷体" w:hAnsi="楷体" w:eastAsia="楷体"/>
              <w:bCs/>
            </w:rPr>
            <w:t>蛋白粕：库存消耗去化，供应宽松背景下震荡对待</w:t>
          </w:r>
          <w:r>
            <w:rPr>
              <w:bCs/>
            </w:rPr>
            <w:fldChar w:fldCharType="end"/>
          </w:r>
        </w:p>
        <w:p>
          <w:pPr>
            <w:pStyle w:val="74"/>
            <w:tabs>
              <w:tab w:val="right" w:leader="dot" w:pos="8306"/>
            </w:tabs>
          </w:pPr>
          <w:r>
            <w:rPr>
              <w:bCs/>
            </w:rPr>
            <w:fldChar w:fldCharType="begin"/>
          </w:r>
          <w:r>
            <w:rPr>
              <w:bCs/>
            </w:rPr>
            <w:instrText xml:space="preserve"> HYPERLINK \l _Toc106 </w:instrText>
          </w:r>
          <w:r>
            <w:rPr>
              <w:bCs/>
            </w:rPr>
            <w:fldChar w:fldCharType="separate"/>
          </w:r>
          <w:r>
            <w:rPr>
              <w:rFonts w:hint="eastAsia" w:ascii="楷体" w:hAnsi="楷体" w:eastAsia="楷体"/>
              <w:bCs/>
            </w:rPr>
            <w:t>油脂类：油脂高位回落，棕油低位布局多单</w:t>
          </w:r>
          <w:r>
            <w:rPr>
              <w:bCs/>
            </w:rPr>
            <w:fldChar w:fldCharType="end"/>
          </w:r>
        </w:p>
        <w:p>
          <w:pPr>
            <w:pStyle w:val="59"/>
            <w:tabs>
              <w:tab w:val="right" w:leader="dot" w:pos="8306"/>
            </w:tabs>
          </w:pPr>
          <w:r>
            <w:rPr>
              <w:bCs/>
            </w:rPr>
            <w:fldChar w:fldCharType="begin"/>
          </w:r>
          <w:r>
            <w:rPr>
              <w:bCs/>
            </w:rPr>
            <w:instrText xml:space="preserve"> HYPERLINK \l _Toc19760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_Toc302 </w:instrText>
          </w:r>
          <w:r>
            <w:rPr>
              <w:bCs/>
            </w:rPr>
            <w:fldChar w:fldCharType="separate"/>
          </w:r>
          <w:r>
            <w:rPr>
              <w:rFonts w:hint="eastAsia" w:ascii="Times New Roman" w:hAnsi="Times New Roman" w:eastAsia="楷体"/>
              <w:szCs w:val="24"/>
            </w:rPr>
            <w:t>集运指数（欧线）：最新当期欧线运价指数环比上涨，期价区间震荡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1281"/>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708"/>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美元、美债收益率大幅攀升，非美货币普跌，大类资产表现承压。近期在交易型资金博弈下，A股尝试继续向上突破，由于10月高点上方存在筹码消化压力，部分资金也或将开始出现兑现动作，预计交易博弈难度和潜在风险增加，短线不建议追高。在我们前期IF、IM均衡持仓观点下，可逐步逢高减仓，待市场回归后再行低位加仓。风格方面，若在未见到增量刺激政策前，外资配置盘或难拐头净流入，此时内资主导市场，叠加主题炒作热点，中小盘确定性更强，则考虑优先IM；若出现增量政策加持及基本面数据转好情况下，则考虑优先IF。</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2443"/>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30123"/>
      <w:r>
        <w:rPr>
          <w:rFonts w:hint="eastAsia" w:ascii="Times New Roman" w:hAnsi="Times New Roman" w:eastAsia="楷体"/>
          <w:b/>
          <w:color w:val="000000" w:themeColor="text1"/>
          <w:sz w:val="24"/>
          <w:szCs w:val="24"/>
          <w14:textFill>
            <w14:solidFill>
              <w14:schemeClr w14:val="tx1"/>
            </w14:solidFill>
          </w14:textFill>
        </w:rPr>
        <w:t>贵金属：美元指数走强，贵金属价格下跌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涨0.41至105.93，沪金跌0.63%至604.18元/克，沪银跌0.09%至7652元/千克。美国持续面临巨额财政赤字压力，外媒预计美国共和党将获得众议院多数席位，海外市场预计特朗普政府后续推出财政政策的阻力减小，美债收益率上行，美元指数进一步走强，受此影响贵金属价格承压。本周关注美国CPI通胀数据更新情况，短线谨慎观望。</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11981"/>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4243"/>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碳酸锂：下游排产预期上行，期价上涨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高开后窄幅震荡，01合约收涨3.38%至81150元/吨。现货价格小幅上涨。新能源汽车十月产销环比增长，11月电池企业排产预期整体环比增长约10%，计入超预期的下游排产后，11月碳酸锂月度供需或延续9-10月旺季以来小幅紧缺的格局。临近并网节点储能订单充足，终端抢装冲量需求带动下游正极需求向好、排产上行，期价或偏强运行。</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22751"/>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原料紧缺格局未改，铝价暂看幅度回调</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大选结束，特朗普政府上台，美联储宣布降息25BP，市场资金情绪波动较大，国内会议释放十万亿化债投放，降低地方债务压力，市场反应不及预期，前期乐观预期发生修正，宏观情绪热烈释放后走弱。美铝周三宣布其位于Juruti地区的铝土矿遭遇不可抗力，暂停从巴西Juruti港发运铝土矿，几内亚矿海漂库存走升，国内矿采不及预期，进口+国产矿量供不应求，协会发言氧化铝期价炒作，导致氧化铝期货价格承压，实际氧化铝现货流通紧张报价持续走增，电解铝生产成本增加，部分高成本电解铝厂表示已有亏损，电解铝利润有修复空间，下游需求来看，库存去化顺利，加工企业开工率明显改善，10月未锻造铝材出口数据亮眼。近期宏观情绪波动较大，供应高位，社会库存小幅累积，内需确有改善，外需表现亮眼，近期氧化铝价格承压导致铝价短期回调但下方调整空间有限。</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30882"/>
      <w:r>
        <w:rPr>
          <w:rFonts w:hint="eastAsia" w:ascii="楷体" w:hAnsi="楷体" w:eastAsia="楷体"/>
          <w:b/>
          <w:color w:val="000000" w:themeColor="text1"/>
          <w:sz w:val="24"/>
          <w:szCs w:val="24"/>
          <w14:textFill>
            <w14:solidFill>
              <w14:schemeClr w14:val="tx1"/>
            </w14:solidFill>
          </w14:textFill>
        </w:rPr>
        <w:t>锌：震荡格局未改</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扰动多变，持续关注特朗普政府及美联储降息情况。14家锌企再聚会议表示挺价加工费，供应端仍有可能技改减产。矿端供应维持紧张格局，北方矿山面临季节性减产，进入冬季下游有冬储需求，预计TC加工费保持低位提增有限，精炼锌产量略有抬升，部分厂家因冶炼利润亏损有减产观望预期，下游企业开工率改善有限，需求旺季不旺，进入淡季持续观望需求变化情况。矿紧传导的供应边际收缩对锌价形成较强支撑，现实需求表现较弱，后续关注宏观情绪叠加需求改善情况，锌价高位窄幅震荡已久，参考价格运行区间24000-25500。</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0981"/>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：强势美指压制短期铜价震荡偏弱运行</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(1)库存：11月12日，SHFE仓单库存39363吨，增1624吨；LME仓单库存271225吨，减650吨。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(2)精废价差：11月12日，Mysteel精废价差1350，收窄95。目前价差在合理价差1462之下。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当前价格跟随宏观预期波动，美元强势压制短期价格，后期或重新回归对实际经济数据的持续观察。基本面，进入11月国内下游补库增加，带动库存连续三周去化，现货升水温和上调。近期关注的重点仍在TC长单价格最终的谈判结果，以及后期对冶炼端的影响。短期价格仍有支撑，但上行驱动不足，维持震荡偏弱运行，关注74000一线支撑。关注今晚美国10月CPI数据公布。</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9365"/>
      <w:r>
        <w:rPr>
          <w:rFonts w:hint="eastAsia" w:ascii="楷体" w:hAnsi="楷体" w:eastAsia="楷体"/>
          <w:b/>
          <w:color w:val="000000" w:themeColor="text1"/>
          <w:sz w:val="24"/>
          <w:szCs w:val="24"/>
          <w14:textFill>
            <w14:solidFill>
              <w14:schemeClr w14:val="tx1"/>
            </w14:solidFill>
          </w14:textFill>
        </w:rPr>
        <w:t>镍：短期镍价或震荡偏弱，警惕印尼新政扰动</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短期国内宏观利多出尽，12月中央经济会议仍有一定期待空间；美元指数走强，对有色板块带来压制。消息方面，印尼镍矿商协会秘书长表示印尼政府将于11月发布新法规，涉及IUP、税收和SIMBARA系统的大幅改革，市场认为可能会对镍产业原料供应带来影响，对镍价一定提振。镍矿方面，随着印尼镍矿配额继续释放，印尼镍矿支撑存在下跌空间。供需方面，精炼镍基本面未有起色，国内及印尼电积镍新投项目持续爬产，过剩压力仍是中长期镍价的主线，海内外库存累库。综合而言，宏观情绪转弱，镍基本面乏善可陈，电积镍新增产能持续释放，海内外库存累幅明显，短期镍价或震荡偏弱，警惕印尼新政变化带来利多风险。</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5932"/>
      <w:r>
        <w:rPr>
          <w:rFonts w:hint="eastAsia" w:ascii="楷体" w:hAnsi="楷体" w:eastAsia="楷体"/>
          <w:b/>
          <w:color w:val="000000" w:themeColor="text1"/>
          <w:sz w:val="24"/>
          <w:szCs w:val="24"/>
          <w14:textFill>
            <w14:solidFill>
              <w14:schemeClr w14:val="tx1"/>
            </w14:solidFill>
          </w14:textFill>
        </w:rPr>
        <w:t>锡：震荡偏弱</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当前锡市场基本面变化不大，供需矛盾暂未进一步激化，锡矿供应偏紧仍提供支撑，需求端未有明显起色，仍随价格涨跌释放弹性，上周锡锭社会库存增加237吨至10018吨。当前驱动有限，锡价波动更多被动跟随整体有色，从持仓量持续下降表现看，当前资金热度有限，短期受强势美元指数压制震荡偏弱运行，不过分看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3727"/>
      <w:r>
        <w:rPr>
          <w:rFonts w:hint="eastAsia" w:ascii="楷体" w:hAnsi="楷体" w:eastAsia="楷体"/>
          <w:b/>
          <w:color w:val="000000" w:themeColor="text1"/>
          <w:sz w:val="24"/>
          <w:szCs w:val="24"/>
          <w14:textFill>
            <w14:solidFill>
              <w14:schemeClr w14:val="tx1"/>
            </w14:solidFill>
          </w14:textFill>
        </w:rPr>
        <w:t>铅：污染天气或频发，支撑铅价</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生铅方面，据钢联调研，预计11月国内原生铅产量为26.98万吨，环比减少0.8%。供应端变量主要体现在再生铅方面，安徽地区环保督察将继续持续至月底，但省级重污染天气已于11月5日解除；河南地区于11月8日再次启动重污染天气预警；随着北方天气日渐寒冷，重污染天气或频发，带来再生铅供应减少预期。需求方面，受宏观政策推动，终端需求暂稳，下游铅蓄电池厂开工率边际提升，对精铅刚需采购。库存方面，截止11月11日全国主要市场铅锭社会库存为7.51万吨，较11月7日增加0.14万吨，较11月4日增加0.76万吨。综合而言，河南污染天气管控持续，天气渐冷，北方重污染天气或频发，再生铅供应减少预期为铅价带来支撑，警惕环保扰动消退带来铅价利空风险。</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4572"/>
      <w:r>
        <w:rPr>
          <w:rFonts w:hint="eastAsia" w:ascii="楷体" w:hAnsi="楷体" w:eastAsia="楷体"/>
          <w:b/>
          <w:color w:val="000000" w:themeColor="text1"/>
          <w:sz w:val="24"/>
          <w:szCs w:val="24"/>
          <w14:textFill>
            <w14:solidFill>
              <w14:schemeClr w14:val="tx1"/>
            </w14:solidFill>
          </w14:textFill>
        </w:rPr>
        <w:t>不锈钢：成本支撑下移，期价或偏弱运行</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方面，印尼镍矿商协会秘书长表示印尼政府将于11月新法规，涉及采矿商业许可证（IUP）、税收和SIMBARA系统等，关注未来其具体政策对镍不锈钢产业会否带来影响。镍矿方面，随着印尼镍矿配额继续释放，印尼镍矿支撑存在下跌空间。镍铁方面，由于不锈钢需求弱势、矿端支撑边际减弱、镍铁供应呈现增量，镍铁价格如期回落，近日高镍铁采购价多为1010-1020元/镍（到厂含税）。供需方面，11月不锈钢粗钢排产329.62万吨，月环比增加1.07%，而需求未有明显起色，下游观望为主。库存方面，上周社会库存98.2万吨，周环比下降1.91%，下降主要还是由于到货不多且钢厂让利出货。综合而言，国内短期宏观情绪利多出尽，美元指数带来压制，镍铁价格回落使不锈钢成本支撑下移，加上不锈钢排产高位不降，预计期价或偏弱震荡运行，警惕注印尼政策变化。</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173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供需双弱格局，基本面改善有限</w:t>
      </w:r>
      <w:bookmarkEnd w:id="27"/>
    </w:p>
    <w:p>
      <w:pPr>
        <w:ind w:left="630" w:leftChars="300"/>
        <w:rPr>
          <w:rFonts w:ascii="楷体" w:hAnsi="楷体" w:eastAsia="楷体"/>
          <w:sz w:val="24"/>
          <w:szCs w:val="24"/>
        </w:rPr>
      </w:pPr>
      <w:r>
        <w:rPr>
          <w:rFonts w:hint="eastAsia" w:ascii="楷体" w:hAnsi="楷体" w:eastAsia="楷体"/>
          <w:sz w:val="24"/>
          <w:szCs w:val="24"/>
        </w:rPr>
        <w:t>11月12日，Si2501主力合约呈震荡走势，收盘价12435元/吨，较上一收盘价涨跌幅＋0.08%。西南维持维持季节性减产，供应呈北增南减格局，有机硅、铝合金需求步入季节性淡季，叠加多晶硅库存压力较大，延续降负荷生产。整体而言，基本面改善有限，叠加宏观情绪有所转弱，预计盘面将震荡偏弱运行。策略上，若有空单可逢低止盈。</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24850"/>
      <w:r>
        <w:rPr>
          <w:rFonts w:hint="eastAsia" w:ascii="楷体" w:hAnsi="楷体" w:eastAsia="楷体"/>
          <w:b/>
          <w:color w:val="000000" w:themeColor="text1"/>
          <w:sz w:val="24"/>
          <w:szCs w:val="24"/>
          <w14:textFill>
            <w14:solidFill>
              <w14:schemeClr w14:val="tx1"/>
            </w14:solidFill>
          </w14:textFill>
        </w:rPr>
        <w:t>螺纹钢：季节性淡季来临，盘面将偏弱运行</w:t>
      </w:r>
      <w:bookmarkEnd w:id="28"/>
    </w:p>
    <w:p>
      <w:pPr>
        <w:ind w:left="630" w:leftChars="300"/>
        <w:rPr>
          <w:rFonts w:ascii="楷体" w:hAnsi="楷体" w:eastAsia="楷体"/>
          <w:sz w:val="24"/>
          <w:szCs w:val="24"/>
        </w:rPr>
      </w:pPr>
      <w:r>
        <w:rPr>
          <w:rFonts w:hint="eastAsia" w:ascii="楷体" w:hAnsi="楷体" w:eastAsia="楷体"/>
          <w:sz w:val="24"/>
          <w:szCs w:val="24"/>
        </w:rPr>
        <w:t>从宏观面来看，美国大选落地，未来特朗普政府或提高对华的关税，可能将间接影响国内钢材出口需求，以及国内人大会议申请通过财政预算方案，无超预期增加政策，情绪边际有所转弱。从基本面来看，市场进入季节性淡季，需求有所下降，库存去化边际放缓，使得钢材现货报价下调。综合而言，基本面边际转弱，叠加宏观情绪同步有所下降，预期盘面将偏弱运行。</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9754"/>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15562"/>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宏观不及预期成本有所松动 天胶价格出现回调</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主要产区的最新报价来看，近期各品类胶价跌多涨少，主因本周降雨多由中雨转小雨，割胶作业负面影响减少。港口库存方面，本周青岛港口小幅累库。下游需求方面，近期全钢胎部分生产企业安排检修，另外月初部分企业出货节奏放缓；半钢轮胎企业排产稳定，雪地胎排产逐步收尾，四季胎部分规格缺口尚存，企业维持高开工状态。整体看，尽管四季度橡胶在基本面供小于求的支撑下以偏多头思路看待，但仍需持续关注东南亚主产区短期降水问题和供应旺季上量情况。近期基本面变动不大，成本支撑尚存，然前期宏观预判不及预期，场内暂无新的利好出现，预计短时天然橡胶市场偏弱震荡寻支撑当中。</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401"/>
      <w:r>
        <w:rPr>
          <w:rFonts w:hint="eastAsia" w:ascii="Times New Roman" w:hAnsi="Times New Roman" w:eastAsia="楷体"/>
          <w:b/>
          <w:color w:val="000000" w:themeColor="text1"/>
          <w:sz w:val="24"/>
          <w:szCs w:val="24"/>
          <w14:textFill>
            <w14:solidFill>
              <w14:schemeClr w14:val="tx1"/>
            </w14:solidFill>
          </w14:textFill>
        </w:rPr>
        <w:t>聚烯烃：聚烯烃随成本端原油调整为主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欧佩克连续第四个月下调全球石油增长预测，但是预测的增幅高于上月国际能源暑报告数值，国际油价盘中上涨，然而收盘缩窄涨幅，聚烯烃成本支撑乏力。近期聚烯烃开工波动幅度不大，PE开工为83.3%，环比-2.2%，PP开工为82.7%，环比+0.7%。库存方面，PE当前总库存仍处于年度同比高位，PP绝对库存压力较PP小，库存压力更多集中于油制生产企业，后续开工回升后仍有进一步的累库预期。下游农膜已至最旺季节，其他下游开工维持，下游刚需补库为主，生产企业与中下游库存缓慢消化。短期在库存去化程度放缓、供需无亮点下预计聚烯烃震荡表现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10796"/>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22333"/>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30801"/>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1387"/>
      <w:r>
        <w:rPr>
          <w:rFonts w:hint="eastAsia" w:ascii="Times New Roman" w:hAnsi="Times New Roman" w:eastAsia="楷体"/>
          <w:b/>
          <w:color w:val="000000" w:themeColor="text1"/>
          <w:sz w:val="24"/>
          <w:szCs w:val="24"/>
          <w14:textFill>
            <w14:solidFill>
              <w14:schemeClr w14:val="tx1"/>
            </w14:solidFill>
          </w14:textFill>
        </w:rPr>
        <w:t>PTA：跟随宏观及成本端波动</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受墨西哥湾飓风扰动减弱及政策提振不及预期，短线利好逐步消退，欧佩克连续第四个月下调石油需求预期，弱基本面下原油大趋势承压。PX 近期开工率有所下滑，供减需增但 PX弱势难改。本周独山能源250万吨、逸盛宁波3线200万吨装置重启，虹港250万吨PTA装置按计划检修，仪化300万吨PTA装置降负至5成，其他个别装置负荷小幅调整，至11.08 PTA负荷在80.8%。本期因部分装置检修恢复或负荷提升，聚酯负荷仍有一定提升，截至11.8初步核算国内大陆地区聚酯负荷在93.4%附近，达到年内高位。聚酯公布的装置检修计划不多，11月月均开工维持在9成以上。综合来看，聚酯产业链上下游开工均维持偏高水平，近期PTA部分企业意外停车，国内供应持续缩量但新订单不足，跟随成本端震荡偏弱运行， PTA 2501合约运行区间为4850-5100，供参考。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4490"/>
      <w:r>
        <w:rPr>
          <w:rFonts w:hint="eastAsia" w:ascii="Times New Roman" w:hAnsi="Times New Roman" w:eastAsia="楷体"/>
          <w:b/>
          <w:color w:val="000000" w:themeColor="text1"/>
          <w:sz w:val="24"/>
          <w:szCs w:val="24"/>
          <w14:textFill>
            <w14:solidFill>
              <w14:schemeClr w14:val="tx1"/>
            </w14:solidFill>
          </w14:textFill>
        </w:rPr>
        <w:t>乙二醇：到港增多及供应恢复 二醇走势承压</w:t>
      </w:r>
      <w:bookmarkEnd w:id="37"/>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港口库存数据表明，11.11华东主港地区MEG港口库存约60.5万吨附近，环比上周+3.4万吨。截至11月7日，中国大陆地区乙二醇整体开工负荷在67.41%（+0.17%），其中草酸催化加氢法（合成气）制乙二醇开工负荷在60.54%（-1.84%）。近期煤化工装置开工积极性增加，本周新疆天业已出料，华谊、寿阳等装置也将重启，后续乙二醇国产量将逐步增加。另外后期环氧需求转弱下，联产装置将进行产品切换，从而增加乙二醇产出。下游聚酯开工情况来看，聚酯端负荷整体保持良好，截至11.7 初步核算国内大陆地区聚酯负荷在93.4%附近，尤其是长丝负荷持续较高。终端开工情况来看，截止11.11江浙下游加弹、织造、印染负荷分别在93%、81%、89%，整体开工高位维持。综合来看，近期到港集中海外供应逐渐恢复，内盘煤化工装置开工重启，后续乙二醇国产量将逐步增加，且下游开工高位不持续，12月转累库预期，乙二醇上行驱动不足，暂维持宽幅震荡格局。</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1432"/>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2081"/>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期价震荡运行</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延续弱势，其中华北产区涨跌互现，东北产区与南北方港口稳中有跌，玉米期价震荡运行，各合约收盘变动不大。对于玉米而言，近期期价震荡回落，近月跌幅相对大于近月，表明当前市场担心源于新作集中上市压力对现货的压制，在前期期待的三个方面驱动中，小麦因抛储而偏弱震荡，国家增储的同时进口玉米拍卖仍在持续中，而北方港口库存快速回升之后，南方销区补库积极性转弱。在这种情况下，短期新作压力有望带动期现货震荡回落，但在我们看来，短期现货回落空间受限，而中期存在产需缺口预期，故依然维持谨慎看多观点，建议投资者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淀粉现货稳中有跌，部分地区报价下调10-40元不等，淀粉期价表现相对弱于玉米，带动淀粉-玉米价差继续略有收窄。对于淀粉而言，近期淀粉-玉米价差小幅收涨，主要源于行业供需和原料成本短期偏空，其中行业供需端因行业库存继续回升，而原料成本端虽华北-东北玉米价差收窄，但两地仍处于倒挂状态。考虑到副产品维持低位，而淀粉基差高企，且盘面加工利润为负，我们倾向于淀粉-玉米价差收窄空间受限。在这种情况下，结合原料玉米判断，我们维持谨慎看多观点，建议单边投资者持有多单，套利投资者继续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11419"/>
      <w:r>
        <w:rPr>
          <w:rFonts w:hint="eastAsia" w:ascii="楷体" w:hAnsi="楷体" w:eastAsia="楷体"/>
          <w:b/>
          <w:bCs/>
          <w:color w:val="000000" w:themeColor="text1"/>
          <w14:textFill>
            <w14:solidFill>
              <w14:schemeClr w14:val="tx1"/>
            </w14:solidFill>
          </w14:textFill>
        </w:rPr>
        <w:t>畜禽养殖：鸡蛋期价弱势震荡</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多有回落，全国均价下跌0.13元至16.54元/公斤；期价1月合约表现强势，其他各合约变动不大。对于生猪而言，从期价远期贴水结构可以看出，市场对生猪市场远期供需改善预期较为一致，这可以从若干方面得到印证，包括能繁母猪存栏见底回升，猪料产量环比增加，仔猪价格见顶回落等。随着期价的持续回落，市场分歧转向当前期价是否已经反映现货下跌预期，因目前最低的3月合约已经跌至过去两年春节前后低点14元/公斤的水平。从供应角度看，农业农村部公布的季度末生猪存栏量虽连续环比增加，但仍处于过去四年来最低水平，而今年3季度出栏仅次于去年，这意味着4季度供应环比增幅受限，这会抑制猪价下跌空间；而需求则存在较大的不确定性，受宏观经济影响，市场反映今年需求不及往年同期，这会抑制猪价上方空间。考虑到气温的下降，再加上季节性因素，生猪需求或有所改善。由此可以看出，当前市场矛盾在于市场预期偏差，我们倾向于市场已经在很大程度上反映悲观预期，期价继续下跌空间或有限，但能否反弹首先需要关注现货价格走势，其次还需要关注饲料原料成本。在这种情况下，我们持谨慎看多观点。</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价格趋于稳定，其中主产区均价持平在4.51元/斤，主销区均价持平在4.72元/斤；期价继续弱势，各合约均有小幅收跌。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建议谨慎投资者观望，激进投资者可考虑持有近月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8803"/>
      <w:r>
        <w:rPr>
          <w:rFonts w:hint="eastAsia" w:ascii="楷体" w:hAnsi="楷体" w:eastAsia="楷体"/>
          <w:b/>
          <w:bCs/>
          <w:color w:val="000000" w:themeColor="text1"/>
          <w14:textFill>
            <w14:solidFill>
              <w14:schemeClr w14:val="tx1"/>
            </w14:solidFill>
          </w14:textFill>
        </w:rPr>
        <w:t>白糖：内外糖价高位区间宽幅震荡整理</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隔日外盘，ICE原糖11号主力合约下跌0.19%，伦敦白砂糖主力合约下跌0.50%。夜盘郑糖2501主力合约上涨0.39%。据外电11月12日消息，行业机构﹣﹣巴西甘蔗行业协会（ Unica ）周二公布报告显示，10月下半月，巴西中南部地区糖产量共计178.5万吨，较之前一年同期下滑24.30%,但超出市场预期。国内11月8日，广西制糖行业发布自律公约：糖厂承诺开机生产时间不早于2024年11月20日。受该消息刺激，国内近月糖价大幅反弹，走势显著强于远月及外盘。但广西糖厂开榨时间早于去年同期10天，其他地区亦有糖厂已经开榨。根据糖业协会数据，截至10月底，本制糖期全国共开榨糖厂30家。白糖当前仍为丰产预期，反弹高度受限。预计白糖2501主力合约运行区间5750-6000元/吨，建议逢高布局空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lang w:eastAsia="zh-CN"/>
          <w14:textFill>
            <w14:solidFill>
              <w14:schemeClr w14:val="tx1"/>
            </w14:solidFill>
          </w14:textFill>
        </w:rPr>
      </w:pPr>
      <w:bookmarkStart w:id="42" w:name="_Toc8470"/>
      <w:r>
        <w:rPr>
          <w:rFonts w:hint="eastAsia" w:ascii="楷体" w:hAnsi="楷体" w:eastAsia="楷体"/>
          <w:b/>
          <w:bCs/>
          <w:color w:val="000000" w:themeColor="text1"/>
          <w14:textFill>
            <w14:solidFill>
              <w14:schemeClr w14:val="tx1"/>
            </w14:solidFill>
          </w14:textFill>
        </w:rPr>
        <w:t>棉花：</w:t>
      </w:r>
      <w:r>
        <w:rPr>
          <w:rFonts w:hint="eastAsia" w:ascii="楷体" w:hAnsi="楷体" w:eastAsia="楷体"/>
          <w:b/>
          <w:bCs/>
          <w:color w:val="000000" w:themeColor="text1"/>
          <w:lang w:val="en-US" w:eastAsia="zh-CN"/>
          <w14:textFill>
            <w14:solidFill>
              <w14:schemeClr w14:val="tx1"/>
            </w14:solidFill>
          </w14:textFill>
        </w:rPr>
        <w:t>内外棉价震荡整理</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隔日外盘，ICE美棉主力下跌1.46%。夜盘郑棉2501主力合约上涨0.14%。据外电11月12日消息，美国农业部（ USDA )在每周作物生长报告中公布称，截至2024年11月10日当周，美国棉花收割率为71%，前一周为63%，去年同期为64%，五年均值为63%。国内，本年度棉花丰产，产量预计同比增加5%-7%，供应充沛。籽棉收购价相对稳定，集中在6.1-6.4元/公斤区间。轧花厂依然持谨慎态度，风险偏好低。金九银十结束，纺织开机率逐步下降。预计短期内区间震荡。</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10184"/>
      <w:r>
        <w:rPr>
          <w:rFonts w:hint="eastAsia" w:ascii="楷体" w:hAnsi="楷体" w:eastAsia="楷体"/>
          <w:b/>
          <w:bCs/>
          <w:color w:val="000000" w:themeColor="text1"/>
          <w14:textFill>
            <w14:solidFill>
              <w14:schemeClr w14:val="tx1"/>
            </w14:solidFill>
          </w14:textFill>
        </w:rPr>
        <w:t>苹果：次优果价格再次试涨，苹果震荡偏强</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本年度新果上市，收购价较往年同期低1元/公斤左右。由于价格合理，且去年囤货商损失惨重，上市初期鲜果低价销售极为顺畅，入库量同比大减。Mysteel农产品数据显示，截至11月6日，全国主产区苹果冷库库存量为813.44万吨，低于去年同期(2023年11月8日950.37万吨)136.93万吨，跌幅14.41%。陕甘地区冷库果已陆续有客商询价，交易开始的时间早于去年同期。近期期价走势提升了果农预期，次优果价格跃跃欲涨，从而转头对期价再起推动作用。轻仓试多。</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25214"/>
      <w:r>
        <w:rPr>
          <w:rFonts w:hint="eastAsia" w:ascii="楷体" w:hAnsi="楷体" w:eastAsia="楷体"/>
          <w:b/>
          <w:bCs/>
          <w:color w:val="000000" w:themeColor="text1"/>
          <w14:textFill>
            <w14:solidFill>
              <w14:schemeClr w14:val="tx1"/>
            </w14:solidFill>
          </w14:textFill>
        </w:rPr>
        <w:t>蛋白粕：库存消耗去化，供应宽松背景下震荡对待</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下跌0.98%，国内夜盘豆二下跌1.21%，豆粕下跌0.42%；菜籽下跌0.23%，菜粕下跌1.31%。据钢联统计数据，2024年第45周，全国主要油厂大豆库存上升，豆粕库存下降，未执行合同下降。其中大豆库存560.39万吨，较上周增加9.65万吨，环比增幅1.75%，同比增幅21.70%；豆粕库存80.75万吨，较上周减少17.66万吨，环比减幅17.95%，同比增幅10.53%。豆粕表观消费量为164.87万吨，较上周增加11.64万吨，增幅7.60%，同比增幅12.26%。沿海地区主要油厂菜籽库存70.3万吨，环比上周减少1.45万吨;菜粕库存5.55万吨，环比上周</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减少0.95万吨。粕类库存消耗去化，油料丰产背景下震荡对待。</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5" w:name="_Toc106"/>
      <w:r>
        <w:rPr>
          <w:rFonts w:hint="eastAsia" w:ascii="楷体" w:hAnsi="楷体" w:eastAsia="楷体"/>
          <w:b/>
          <w:bCs/>
          <w:color w:val="000000" w:themeColor="text1"/>
          <w14:textFill>
            <w14:solidFill>
              <w14:schemeClr w14:val="tx1"/>
            </w14:solidFill>
          </w14:textFill>
        </w:rPr>
        <w:t>油脂类：油脂高位回落，棕油低位布局多单</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下跌2.13%，菜油下跌2.77%，棕榈油下跌0.64%，马棕上涨0.20%，棕油较为抗跌。豆油方面，截止第45周，国内豆油库存环比减少2.34%，但海外市场美豆面临行业政策不确定性，受其打压大幅下跌。菜油基本面维持弱势，目前价格较高，下游采购谨慎，库存累积，环比增加7.12%。棕榈油方面，SGS发布11月1-10日马来棕油出口较上月同期下滑17.1%，同时美豆油拖累，昨日马棕下跌逾3%。BMI预计2025年一季度马棕油将维持高位，但续涨空间有限。其预计24/25年度全球棕油产量过剩将缩窄至110万吨，供应紧俏。但排灯节后印度需求有所放缓，印尼B40计划仍存在不确定性，因此对上方空间较为谨慎。</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6" w:name="_Toc19760"/>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302"/>
      <w:r>
        <w:rPr>
          <w:rFonts w:hint="eastAsia" w:ascii="Times New Roman" w:hAnsi="Times New Roman" w:eastAsia="楷体"/>
          <w:b/>
          <w:color w:val="000000" w:themeColor="text1"/>
          <w:sz w:val="24"/>
          <w:szCs w:val="24"/>
          <w14:textFill>
            <w14:solidFill>
              <w14:schemeClr w14:val="tx1"/>
            </w14:solidFill>
          </w14:textFill>
        </w:rPr>
        <w:t>集运指数（欧线）：最新当期欧线运价指数环比上涨，期价区间震荡</w:t>
      </w:r>
      <w:bookmarkEnd w:id="4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期价略微高开后转跌，尾盘回升，02合约收盘微涨0.03%至3159.9，整体呈现区间震荡走势。MSC、马士基等船司11月下旬线上报价仍维持在持平上旬的约4050美元/TEU附近，相较之前而言提涨暂时不及预期。11月11日，SCFIS欧洲航线运价指数环比涨11.85%至2526.04。11月8日，上海航运交易所发布的上海出口集装箱综合运价指数为2331.58点，较上期上涨1.2%。关注后续提涨实质性落地情况。上周期价升至约3400下方的近期高位以后上方压力较强，后续关注12月提涨实质落地情况，期价或宽幅震荡，建议谨慎观望。</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19667"/>
      <w:bookmarkStart w:id="49" w:name="_Toc12779"/>
      <w:bookmarkStart w:id="50" w:name="_Toc71212556"/>
      <w:bookmarkStart w:id="51" w:name="_Toc98426751"/>
      <w:bookmarkStart w:id="52" w:name="_Toc72481108"/>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2024年11月13日星期三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3B0EDD"/>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AF662C"/>
    <w:rsid w:val="0DB77106"/>
    <w:rsid w:val="0DCE2D64"/>
    <w:rsid w:val="0E20128F"/>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54295"/>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86F44E9"/>
    <w:rsid w:val="2916719E"/>
    <w:rsid w:val="293961B5"/>
    <w:rsid w:val="29A303B9"/>
    <w:rsid w:val="2AF03172"/>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DD1666"/>
    <w:rsid w:val="40E44318"/>
    <w:rsid w:val="40F15753"/>
    <w:rsid w:val="41F950F8"/>
    <w:rsid w:val="428A4A5E"/>
    <w:rsid w:val="42EB3BA1"/>
    <w:rsid w:val="42F51780"/>
    <w:rsid w:val="43F11831"/>
    <w:rsid w:val="43F63E0D"/>
    <w:rsid w:val="44092E2E"/>
    <w:rsid w:val="441077D2"/>
    <w:rsid w:val="44396064"/>
    <w:rsid w:val="445F7588"/>
    <w:rsid w:val="458C38B3"/>
    <w:rsid w:val="459609D9"/>
    <w:rsid w:val="45A37566"/>
    <w:rsid w:val="45B634E5"/>
    <w:rsid w:val="45CF0A85"/>
    <w:rsid w:val="45F224BA"/>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5C7364"/>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29C26CA"/>
    <w:rsid w:val="538706F0"/>
    <w:rsid w:val="546B5509"/>
    <w:rsid w:val="548642E9"/>
    <w:rsid w:val="54A17941"/>
    <w:rsid w:val="54C12E33"/>
    <w:rsid w:val="55633225"/>
    <w:rsid w:val="556D6DC3"/>
    <w:rsid w:val="563B25E1"/>
    <w:rsid w:val="566A208A"/>
    <w:rsid w:val="56DD4D3A"/>
    <w:rsid w:val="57555A7B"/>
    <w:rsid w:val="5770382C"/>
    <w:rsid w:val="57846909"/>
    <w:rsid w:val="57A6753E"/>
    <w:rsid w:val="57CB522F"/>
    <w:rsid w:val="57F46FBE"/>
    <w:rsid w:val="58042686"/>
    <w:rsid w:val="58246D5D"/>
    <w:rsid w:val="58EC5960"/>
    <w:rsid w:val="58F05C44"/>
    <w:rsid w:val="58F400B4"/>
    <w:rsid w:val="59151C86"/>
    <w:rsid w:val="59732982"/>
    <w:rsid w:val="598F0769"/>
    <w:rsid w:val="59C52328"/>
    <w:rsid w:val="5AD37D8A"/>
    <w:rsid w:val="5AF87BF9"/>
    <w:rsid w:val="5B0F1B49"/>
    <w:rsid w:val="5B906095"/>
    <w:rsid w:val="5BC6560B"/>
    <w:rsid w:val="5BF60A75"/>
    <w:rsid w:val="5C813B75"/>
    <w:rsid w:val="5C8C1D8E"/>
    <w:rsid w:val="5C9F2D01"/>
    <w:rsid w:val="5D3F3466"/>
    <w:rsid w:val="5D5617A6"/>
    <w:rsid w:val="5D716329"/>
    <w:rsid w:val="5EA23F15"/>
    <w:rsid w:val="5EA7685B"/>
    <w:rsid w:val="5ED40954"/>
    <w:rsid w:val="5EFA4E95"/>
    <w:rsid w:val="5F0963C1"/>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204308"/>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7E700E"/>
    <w:rsid w:val="78E55995"/>
    <w:rsid w:val="79267C0B"/>
    <w:rsid w:val="79310F0C"/>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 w:val="7FE1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2024-11-13T02:06:47Z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