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_Toc7903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_Toc15114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_Toc12693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_Toc11392 </w:instrText>
          </w:r>
          <w:r>
            <w:rPr>
              <w:bCs/>
            </w:rPr>
            <w:fldChar w:fldCharType="separate"/>
          </w:r>
          <w:r>
            <w:rPr>
              <w:rFonts w:hint="eastAsia" w:ascii="Times New Roman" w:hAnsi="Times New Roman" w:eastAsia="楷体"/>
              <w:szCs w:val="24"/>
            </w:rPr>
            <w:t>贵金属：特朗普交易逐渐回落，贵金属价格反弹</w:t>
          </w:r>
          <w:r>
            <w:rPr>
              <w:bCs/>
            </w:rPr>
            <w:fldChar w:fldCharType="end"/>
          </w:r>
        </w:p>
        <w:p>
          <w:pPr>
            <w:pStyle w:val="59"/>
            <w:tabs>
              <w:tab w:val="right" w:leader="dot" w:pos="8306"/>
            </w:tabs>
          </w:pPr>
          <w:r>
            <w:rPr>
              <w:bCs/>
            </w:rPr>
            <w:fldChar w:fldCharType="begin"/>
          </w:r>
          <w:r>
            <w:rPr>
              <w:bCs/>
            </w:rPr>
            <w:instrText xml:space="preserve"> HYPERLINK \l _Toc8460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_Toc20654 </w:instrText>
          </w:r>
          <w:r>
            <w:rPr>
              <w:bCs/>
            </w:rPr>
            <w:fldChar w:fldCharType="separate"/>
          </w:r>
          <w:r>
            <w:rPr>
              <w:rFonts w:hint="eastAsia" w:ascii="楷体" w:hAnsi="楷体" w:eastAsia="楷体"/>
              <w:szCs w:val="24"/>
            </w:rPr>
            <w:t>碳酸锂：海外锂企季报显示亏损，期价小幅上涨</w:t>
          </w:r>
          <w:r>
            <w:rPr>
              <w:bCs/>
            </w:rPr>
            <w:fldChar w:fldCharType="end"/>
          </w:r>
        </w:p>
        <w:p>
          <w:pPr>
            <w:pStyle w:val="74"/>
            <w:tabs>
              <w:tab w:val="right" w:leader="dot" w:pos="8306"/>
            </w:tabs>
          </w:pPr>
          <w:r>
            <w:rPr>
              <w:bCs/>
            </w:rPr>
            <w:fldChar w:fldCharType="begin"/>
          </w:r>
          <w:r>
            <w:rPr>
              <w:bCs/>
            </w:rPr>
            <w:instrText xml:space="preserve"> HYPERLINK \l _Toc8803 </w:instrText>
          </w:r>
          <w:r>
            <w:rPr>
              <w:bCs/>
            </w:rPr>
            <w:fldChar w:fldCharType="separate"/>
          </w:r>
          <w:r>
            <w:rPr>
              <w:rFonts w:hint="eastAsia" w:ascii="楷体" w:hAnsi="楷体" w:eastAsia="楷体"/>
              <w:szCs w:val="24"/>
            </w:rPr>
            <w:t>铝：铝价跟随宏观情绪波动</w:t>
          </w:r>
          <w:r>
            <w:rPr>
              <w:bCs/>
            </w:rPr>
            <w:fldChar w:fldCharType="end"/>
          </w:r>
        </w:p>
        <w:p>
          <w:pPr>
            <w:pStyle w:val="74"/>
            <w:tabs>
              <w:tab w:val="right" w:leader="dot" w:pos="8306"/>
            </w:tabs>
          </w:pPr>
          <w:r>
            <w:rPr>
              <w:bCs/>
            </w:rPr>
            <w:fldChar w:fldCharType="begin"/>
          </w:r>
          <w:r>
            <w:rPr>
              <w:bCs/>
            </w:rPr>
            <w:instrText xml:space="preserve"> HYPERLINK \l _Toc12838 </w:instrText>
          </w:r>
          <w:r>
            <w:rPr>
              <w:bCs/>
            </w:rPr>
            <w:fldChar w:fldCharType="separate"/>
          </w:r>
          <w:r>
            <w:rPr>
              <w:rFonts w:hint="eastAsia" w:ascii="楷体" w:hAnsi="楷体" w:eastAsia="楷体"/>
              <w:szCs w:val="24"/>
            </w:rPr>
            <w:t>锌：宏观情绪带动价格小幅反弹</w:t>
          </w:r>
          <w:r>
            <w:rPr>
              <w:bCs/>
            </w:rPr>
            <w:fldChar w:fldCharType="end"/>
          </w:r>
        </w:p>
        <w:p>
          <w:pPr>
            <w:pStyle w:val="74"/>
            <w:tabs>
              <w:tab w:val="right" w:leader="dot" w:pos="8306"/>
            </w:tabs>
          </w:pPr>
          <w:r>
            <w:rPr>
              <w:bCs/>
            </w:rPr>
            <w:fldChar w:fldCharType="begin"/>
          </w:r>
          <w:r>
            <w:rPr>
              <w:bCs/>
            </w:rPr>
            <w:instrText xml:space="preserve"> HYPERLINK \l _Toc16422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：区间震荡</w:t>
          </w:r>
          <w:r>
            <w:rPr>
              <w:bCs/>
            </w:rPr>
            <w:fldChar w:fldCharType="end"/>
          </w:r>
        </w:p>
        <w:p>
          <w:pPr>
            <w:pStyle w:val="74"/>
            <w:tabs>
              <w:tab w:val="right" w:leader="dot" w:pos="8306"/>
            </w:tabs>
          </w:pPr>
          <w:r>
            <w:rPr>
              <w:bCs/>
            </w:rPr>
            <w:fldChar w:fldCharType="begin"/>
          </w:r>
          <w:r>
            <w:rPr>
              <w:bCs/>
            </w:rPr>
            <w:instrText xml:space="preserve"> HYPERLINK \l _Toc14972 </w:instrText>
          </w:r>
          <w:r>
            <w:rPr>
              <w:bCs/>
            </w:rPr>
            <w:fldChar w:fldCharType="separate"/>
          </w:r>
          <w:r>
            <w:rPr>
              <w:rFonts w:hint="eastAsia" w:ascii="楷体" w:hAnsi="楷体" w:eastAsia="楷体"/>
              <w:szCs w:val="24"/>
            </w:rPr>
            <w:t>镍：短期镍价跟随宏观震荡</w:t>
          </w:r>
          <w:r>
            <w:rPr>
              <w:bCs/>
            </w:rPr>
            <w:fldChar w:fldCharType="end"/>
          </w:r>
        </w:p>
        <w:p>
          <w:pPr>
            <w:pStyle w:val="74"/>
            <w:tabs>
              <w:tab w:val="right" w:leader="dot" w:pos="8306"/>
            </w:tabs>
          </w:pPr>
          <w:r>
            <w:rPr>
              <w:bCs/>
            </w:rPr>
            <w:fldChar w:fldCharType="begin"/>
          </w:r>
          <w:r>
            <w:rPr>
              <w:bCs/>
            </w:rPr>
            <w:instrText xml:space="preserve"> HYPERLINK \l _Toc2542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_Toc7660 </w:instrText>
          </w:r>
          <w:r>
            <w:rPr>
              <w:bCs/>
            </w:rPr>
            <w:fldChar w:fldCharType="separate"/>
          </w:r>
          <w:r>
            <w:rPr>
              <w:rFonts w:hint="eastAsia" w:ascii="楷体" w:hAnsi="楷体" w:eastAsia="楷体"/>
              <w:szCs w:val="24"/>
            </w:rPr>
            <w:t>铅：安徽解除污染天气预警，铅价上行动能有限</w:t>
          </w:r>
          <w:r>
            <w:rPr>
              <w:bCs/>
            </w:rPr>
            <w:fldChar w:fldCharType="end"/>
          </w:r>
        </w:p>
        <w:p>
          <w:pPr>
            <w:pStyle w:val="74"/>
            <w:tabs>
              <w:tab w:val="right" w:leader="dot" w:pos="8306"/>
            </w:tabs>
          </w:pPr>
          <w:r>
            <w:rPr>
              <w:bCs/>
            </w:rPr>
            <w:fldChar w:fldCharType="begin"/>
          </w:r>
          <w:r>
            <w:rPr>
              <w:bCs/>
            </w:rPr>
            <w:instrText xml:space="preserve"> HYPERLINK \l _Toc25058 </w:instrText>
          </w:r>
          <w:r>
            <w:rPr>
              <w:bCs/>
            </w:rPr>
            <w:fldChar w:fldCharType="separate"/>
          </w:r>
          <w:r>
            <w:rPr>
              <w:rFonts w:hint="eastAsia" w:ascii="楷体" w:hAnsi="楷体" w:eastAsia="楷体"/>
              <w:szCs w:val="24"/>
            </w:rPr>
            <w:t>不锈钢：上下驱动皆有限，维持区间震荡</w:t>
          </w:r>
          <w:r>
            <w:rPr>
              <w:bCs/>
            </w:rPr>
            <w:fldChar w:fldCharType="end"/>
          </w:r>
        </w:p>
        <w:p>
          <w:pPr>
            <w:pStyle w:val="74"/>
            <w:tabs>
              <w:tab w:val="right" w:leader="dot" w:pos="8306"/>
            </w:tabs>
          </w:pPr>
          <w:r>
            <w:rPr>
              <w:bCs/>
            </w:rPr>
            <w:fldChar w:fldCharType="begin"/>
          </w:r>
          <w:r>
            <w:rPr>
              <w:bCs/>
            </w:rPr>
            <w:instrText xml:space="preserve"> HYPERLINK \l _Toc16733 </w:instrText>
          </w:r>
          <w:r>
            <w:rPr>
              <w:bCs/>
            </w:rPr>
            <w:fldChar w:fldCharType="separate"/>
          </w:r>
          <w:r>
            <w:rPr>
              <w:rFonts w:hint="eastAsia" w:ascii="楷体" w:hAnsi="楷体" w:eastAsia="楷体"/>
              <w:szCs w:val="24"/>
            </w:rPr>
            <w:t>工业硅：供需双弱格局，基本面改善有限</w:t>
          </w:r>
          <w:r>
            <w:rPr>
              <w:bCs/>
            </w:rPr>
            <w:fldChar w:fldCharType="end"/>
          </w:r>
        </w:p>
        <w:p>
          <w:pPr>
            <w:pStyle w:val="74"/>
            <w:tabs>
              <w:tab w:val="right" w:leader="dot" w:pos="8306"/>
            </w:tabs>
          </w:pPr>
          <w:r>
            <w:rPr>
              <w:bCs/>
            </w:rPr>
            <w:fldChar w:fldCharType="begin"/>
          </w:r>
          <w:r>
            <w:rPr>
              <w:bCs/>
            </w:rPr>
            <w:instrText xml:space="preserve"> HYPERLINK \l _Toc24391 </w:instrText>
          </w:r>
          <w:r>
            <w:rPr>
              <w:bCs/>
            </w:rPr>
            <w:fldChar w:fldCharType="separate"/>
          </w:r>
          <w:r>
            <w:rPr>
              <w:rFonts w:hint="eastAsia" w:ascii="楷体" w:hAnsi="楷体" w:eastAsia="楷体"/>
              <w:szCs w:val="24"/>
            </w:rPr>
            <w:t>螺纹钢：基本面偏弱，关注政策发力情况</w:t>
          </w:r>
          <w:r>
            <w:rPr>
              <w:bCs/>
            </w:rPr>
            <w:fldChar w:fldCharType="end"/>
          </w:r>
        </w:p>
        <w:p>
          <w:pPr>
            <w:pStyle w:val="59"/>
            <w:tabs>
              <w:tab w:val="right" w:leader="dot" w:pos="8306"/>
            </w:tabs>
          </w:pPr>
          <w:r>
            <w:rPr>
              <w:bCs/>
            </w:rPr>
            <w:fldChar w:fldCharType="begin"/>
          </w:r>
          <w:r>
            <w:rPr>
              <w:bCs/>
            </w:rPr>
            <w:instrText xml:space="preserve"> HYPERLINK \l _Toc21805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_Toc13950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泰南地区降水明显增多 天胶偏强运行</w:t>
          </w:r>
          <w:r>
            <w:rPr>
              <w:bCs/>
            </w:rPr>
            <w:fldChar w:fldCharType="end"/>
          </w:r>
        </w:p>
        <w:p>
          <w:pPr>
            <w:pStyle w:val="74"/>
            <w:tabs>
              <w:tab w:val="right" w:leader="dot" w:pos="8306"/>
            </w:tabs>
          </w:pPr>
          <w:r>
            <w:rPr>
              <w:bCs/>
            </w:rPr>
            <w:fldChar w:fldCharType="begin"/>
          </w:r>
          <w:r>
            <w:rPr>
              <w:bCs/>
            </w:rPr>
            <w:instrText xml:space="preserve"> HYPERLINK \l _Toc29612 </w:instrText>
          </w:r>
          <w:r>
            <w:rPr>
              <w:bCs/>
            </w:rPr>
            <w:fldChar w:fldCharType="separate"/>
          </w:r>
          <w:r>
            <w:rPr>
              <w:rFonts w:hint="eastAsia" w:ascii="Times New Roman" w:hAnsi="Times New Roman" w:eastAsia="楷体"/>
              <w:szCs w:val="24"/>
            </w:rPr>
            <w:t>聚烯烃：聚烯烃随成本端原油波动为主</w:t>
          </w:r>
          <w:r>
            <w:rPr>
              <w:bCs/>
            </w:rPr>
            <w:fldChar w:fldCharType="end"/>
          </w:r>
        </w:p>
        <w:p>
          <w:pPr>
            <w:pStyle w:val="74"/>
            <w:tabs>
              <w:tab w:val="right" w:leader="dot" w:pos="8306"/>
            </w:tabs>
          </w:pPr>
          <w:r>
            <w:rPr>
              <w:bCs/>
            </w:rPr>
            <w:fldChar w:fldCharType="begin"/>
          </w:r>
          <w:r>
            <w:rPr>
              <w:bCs/>
            </w:rPr>
            <w:instrText xml:space="preserve"> HYPERLINK \l _Toc23086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_Toc18487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_Toc26208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_Toc11336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_Toc11736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_Toc20991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_Toc17146 </w:instrText>
          </w:r>
          <w:r>
            <w:rPr>
              <w:bCs/>
            </w:rPr>
            <w:fldChar w:fldCharType="separate"/>
          </w:r>
          <w:r>
            <w:rPr>
              <w:rFonts w:hint="eastAsia" w:ascii="楷体" w:hAnsi="楷体" w:eastAsia="楷体"/>
              <w:bCs/>
            </w:rPr>
            <w:t>玉米与淀粉：</w:t>
          </w:r>
          <w:r>
            <w:rPr>
              <w:rFonts w:hint="eastAsia" w:ascii="楷体" w:hAnsi="楷体" w:eastAsia="楷体"/>
            </w:rPr>
            <w:t>期价偏强震荡</w:t>
          </w:r>
          <w:r>
            <w:rPr>
              <w:bCs/>
            </w:rPr>
            <w:fldChar w:fldCharType="end"/>
          </w:r>
        </w:p>
        <w:p>
          <w:pPr>
            <w:pStyle w:val="74"/>
            <w:tabs>
              <w:tab w:val="right" w:leader="dot" w:pos="8306"/>
            </w:tabs>
          </w:pPr>
          <w:r>
            <w:rPr>
              <w:bCs/>
            </w:rPr>
            <w:fldChar w:fldCharType="begin"/>
          </w:r>
          <w:r>
            <w:rPr>
              <w:bCs/>
            </w:rPr>
            <w:instrText xml:space="preserve"> HYPERLINK \l _Toc4072 </w:instrText>
          </w:r>
          <w:r>
            <w:rPr>
              <w:bCs/>
            </w:rPr>
            <w:fldChar w:fldCharType="separate"/>
          </w:r>
          <w:r>
            <w:rPr>
              <w:rFonts w:hint="eastAsia" w:ascii="楷体" w:hAnsi="楷体" w:eastAsia="楷体"/>
              <w:bCs/>
            </w:rPr>
            <w:t>畜禽养殖：期价多有回升</w:t>
          </w:r>
          <w:r>
            <w:rPr>
              <w:bCs/>
            </w:rPr>
            <w:fldChar w:fldCharType="end"/>
          </w:r>
        </w:p>
        <w:p>
          <w:pPr>
            <w:pStyle w:val="74"/>
            <w:tabs>
              <w:tab w:val="right" w:leader="dot" w:pos="8306"/>
            </w:tabs>
          </w:pPr>
          <w:r>
            <w:rPr>
              <w:bCs/>
            </w:rPr>
            <w:fldChar w:fldCharType="begin"/>
          </w:r>
          <w:r>
            <w:rPr>
              <w:bCs/>
            </w:rPr>
            <w:instrText xml:space="preserve"> HYPERLINK \l _Toc24815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_Toc16403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内外棉价震荡偏强</w:t>
          </w:r>
          <w:r>
            <w:rPr>
              <w:bCs/>
            </w:rPr>
            <w:fldChar w:fldCharType="end"/>
          </w:r>
        </w:p>
        <w:p>
          <w:pPr>
            <w:pStyle w:val="74"/>
            <w:tabs>
              <w:tab w:val="right" w:leader="dot" w:pos="8306"/>
            </w:tabs>
          </w:pPr>
          <w:r>
            <w:rPr>
              <w:bCs/>
            </w:rPr>
            <w:fldChar w:fldCharType="begin"/>
          </w:r>
          <w:r>
            <w:rPr>
              <w:bCs/>
            </w:rPr>
            <w:instrText xml:space="preserve"> HYPERLINK \l _Toc32496 </w:instrText>
          </w:r>
          <w:r>
            <w:rPr>
              <w:bCs/>
            </w:rPr>
            <w:fldChar w:fldCharType="separate"/>
          </w:r>
          <w:r>
            <w:rPr>
              <w:rFonts w:hint="eastAsia" w:ascii="楷体" w:hAnsi="楷体" w:eastAsia="楷体"/>
              <w:bCs/>
            </w:rPr>
            <w:t>苹果：区间震荡，消化前期涨幅</w:t>
          </w:r>
          <w:r>
            <w:rPr>
              <w:bCs/>
            </w:rPr>
            <w:fldChar w:fldCharType="end"/>
          </w:r>
        </w:p>
        <w:p>
          <w:pPr>
            <w:pStyle w:val="74"/>
            <w:tabs>
              <w:tab w:val="right" w:leader="dot" w:pos="8306"/>
            </w:tabs>
          </w:pPr>
          <w:r>
            <w:rPr>
              <w:bCs/>
            </w:rPr>
            <w:fldChar w:fldCharType="begin"/>
          </w:r>
          <w:r>
            <w:rPr>
              <w:bCs/>
            </w:rPr>
            <w:instrText xml:space="preserve"> HYPERLINK \l _Toc29871 </w:instrText>
          </w:r>
          <w:r>
            <w:rPr>
              <w:bCs/>
            </w:rPr>
            <w:fldChar w:fldCharType="separate"/>
          </w:r>
          <w:r>
            <w:rPr>
              <w:rFonts w:hint="eastAsia" w:ascii="楷体" w:hAnsi="楷体" w:eastAsia="楷体"/>
              <w:bCs/>
            </w:rPr>
            <w:t>蛋白粕：市场情绪大幅拉涨后回落</w:t>
          </w:r>
          <w:r>
            <w:rPr>
              <w:bCs/>
            </w:rPr>
            <w:fldChar w:fldCharType="end"/>
          </w:r>
        </w:p>
        <w:p>
          <w:pPr>
            <w:pStyle w:val="74"/>
            <w:tabs>
              <w:tab w:val="right" w:leader="dot" w:pos="8306"/>
            </w:tabs>
          </w:pPr>
          <w:r>
            <w:rPr>
              <w:bCs/>
            </w:rPr>
            <w:fldChar w:fldCharType="begin"/>
          </w:r>
          <w:r>
            <w:rPr>
              <w:bCs/>
            </w:rPr>
            <w:instrText xml:space="preserve"> HYPERLINK \l _Toc26331 </w:instrText>
          </w:r>
          <w:r>
            <w:rPr>
              <w:bCs/>
            </w:rPr>
            <w:fldChar w:fldCharType="separate"/>
          </w:r>
          <w:r>
            <w:rPr>
              <w:rFonts w:hint="eastAsia" w:ascii="楷体" w:hAnsi="楷体" w:eastAsia="楷体"/>
              <w:bCs/>
            </w:rPr>
            <w:t>油脂类：印度需求激增，支撑棕油价格向上突破</w:t>
          </w:r>
          <w:r>
            <w:rPr>
              <w:bCs/>
            </w:rPr>
            <w:fldChar w:fldCharType="end"/>
          </w:r>
        </w:p>
        <w:p>
          <w:pPr>
            <w:pStyle w:val="59"/>
            <w:tabs>
              <w:tab w:val="right" w:leader="dot" w:pos="8306"/>
            </w:tabs>
          </w:pPr>
          <w:r>
            <w:rPr>
              <w:bCs/>
            </w:rPr>
            <w:fldChar w:fldCharType="begin"/>
          </w:r>
          <w:r>
            <w:rPr>
              <w:bCs/>
            </w:rPr>
            <w:instrText xml:space="preserve"> HYPERLINK \l _Toc5839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_Toc12669 </w:instrText>
          </w:r>
          <w:r>
            <w:rPr>
              <w:bCs/>
            </w:rPr>
            <w:fldChar w:fldCharType="separate"/>
          </w:r>
          <w:r>
            <w:rPr>
              <w:rFonts w:hint="eastAsia" w:ascii="Times New Roman" w:hAnsi="Times New Roman" w:eastAsia="楷体"/>
              <w:szCs w:val="24"/>
            </w:rPr>
            <w:t>集运指数（欧线）：短期波动加剧，主力期价大幅上涨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790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511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特朗普胜选从中期层面将影响A股的盈利预期和风险偏好，短期影响市场已进行较为充分推演，而市场继续走强需要外生刺激，如政策强刺激验证或中短期基本面改善可持续的线索，各指数尤其是以中证1000为代表的中小盘成长风格接近10月8日的前高，交易博弈难度和潜在风险增加，可待市场回归后再行低位布局IF及IM。</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269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1392"/>
      <w:r>
        <w:rPr>
          <w:rFonts w:hint="eastAsia" w:ascii="Times New Roman" w:hAnsi="Times New Roman" w:eastAsia="楷体"/>
          <w:b/>
          <w:color w:val="000000" w:themeColor="text1"/>
          <w:sz w:val="24"/>
          <w:szCs w:val="24"/>
          <w14:textFill>
            <w14:solidFill>
              <w14:schemeClr w14:val="tx1"/>
            </w14:solidFill>
          </w14:textFill>
        </w:rPr>
        <w:t>贵金属：特朗普交易逐渐回落，贵金属价格反弹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0.48%至617.34元/克，沪银涨1.93%至7829元/千克。目前大选落地，特朗普交易冲高后有所回落。美元指数11月6日上涨1.21%至105.15，11月7日小幅下跌约0.4%至104.7。欧元兑美元汇率11月6日跌1.36%至1.0729，11月7日小幅回升至约1.0757。美国十年期国债11月6日上涨14.9个bp至4.44%，反映市场对于特朗普执政后美国经济增长及赤字上升的预期，后续政策可能推升美国利率及通胀水平，随后11月7日小幅回落，暂报4.40%。短期内贵金属价格由于大选结果出炉后市场不确定性下降、避险情绪降温，以及美元指数走强而有所承压，短线下跌。但中长期而言，“特朗普交易”靴子落地，特朗普后续政策可能刺激通胀反弹，国际地缘冲突局势暂未明朗，回调止跌后可考虑择机介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846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065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碳酸锂：海外锂企季报显示亏损，期价小幅上涨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01合约涨0.99%至76850元/吨。11月7日交割配对2391手，11月累计配对18623手；11月7日交割2997手，11月累计交割13411手。美国雅保披露三季报，第三季度锂盐业务净销售额7.67亿美元，环比降7.6%，同比降54.8%，主要由于价格下行影响；公司三季度净亏损10.61亿美元；雅保预计在全球裁员6-7%以削减成本。特朗普政策或更倾向于支持传统能源产业，不过大选结果落地后特朗普交易逐渐回落。后续留意海外企业三季报披露情况及终端销量表现，此前报告显示海外矿山季度产量表现分化。现货市场询价积极性提升、散单采购情绪相对谨慎，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880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铝价跟随宏观情绪波动</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竞选成功，美元指数再度强势，华对美贸易出口关税预计增长，对外出口预期走弱，有色价格整体承压。基本面上看，国内铝土矿供应压力或逐步在几内亚进口矿量抬升的节奏中逐步缓解，持续关注进口矿量变化情况，氧化铝价格高位，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近期铝价或跟随宏观情绪波动，基本面上看仍为供应有封顶，未来需求有乐观改善预期，波动区间参考20000-21500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2838"/>
      <w:r>
        <w:rPr>
          <w:rFonts w:hint="eastAsia" w:ascii="楷体" w:hAnsi="楷体" w:eastAsia="楷体"/>
          <w:b/>
          <w:color w:val="000000" w:themeColor="text1"/>
          <w:sz w:val="24"/>
          <w:szCs w:val="24"/>
          <w14:textFill>
            <w14:solidFill>
              <w14:schemeClr w14:val="tx1"/>
            </w14:solidFill>
          </w14:textFill>
        </w:rPr>
        <w:t>锌：宏观情绪带动价格小幅反弹</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凌晨发布降息25Bp，国内对会议结论有乐观期待，整体宏观情绪回暖。14家锌企再聚会议表示挺价加工费，供应端仍有可能技改减产。矿端供应维持紧张格局，北方矿山面临季节性减产，进入冬季下游有冬储需求，预计TC加工费保持低位提增有限，精炼锌产量略有抬升，部分厂家因冶炼利润亏损有减产观望预期，下游企业开工率有小幅改善，海外库存累增，国内库存保持低位，需求旺季不旺，进入淡季持续观望需求变化情况。矿紧传导的供应边际收缩对锌价形成较强支撑，现实需求表现较弱，后续关注宏观情绪叠加需求改善情况，现在宏观情绪带动下或有小腹反弹，咱看前高高度压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642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：区间震荡</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(1)宏观：11月7日周四，美联储如期降息25个基点，下调联邦基金利率目标区间至4.5%-4.75%，但决议声明删除关于“在抗通胀问题上获得信心”的表述，或暗示对12月暂停降息持开放态度。</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(2)库存：11月7日，SHFE仓单库存43042吨，减2825吨；LME仓单库存272525吨，减25吨。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(3)精废价差：11月7日，Mysteel精废价差1244，收窄347。目前价差在合理价差1462之上。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11月降息符合预期，美国大选已落地，还剩下国内会议能否带来超预期政策信号，目前国内股市表现反应偏多氛围。基本面，国内库存去化，现货升水小幅走强，铜精矿TC小幅上涨，但由于现货散单TC持续偏低，明年长单的确定或存在较大分歧，而倘着长时间的低加工费可能会令冶炼厂存在减产压力。整体而言，铜基本面边际转好，价格影响仍受宏观主导，短期维持区间震荡运行，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4972"/>
      <w:r>
        <w:rPr>
          <w:rFonts w:hint="eastAsia" w:ascii="楷体" w:hAnsi="楷体" w:eastAsia="楷体"/>
          <w:b/>
          <w:color w:val="000000" w:themeColor="text1"/>
          <w:sz w:val="24"/>
          <w:szCs w:val="24"/>
          <w14:textFill>
            <w14:solidFill>
              <w14:schemeClr w14:val="tx1"/>
            </w14:solidFill>
          </w14:textFill>
        </w:rPr>
        <w:t>镍：短期镍价跟随宏观震荡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大选由特朗普获胜，关注人大会议的财政政策力度，国内市场预期偏多。消息面，印尼镍矿商协会表示印尼将实施新的出口禁令，虽未提及镍业产品，但也带来边际利多情绪。镍矿方面，矿端价格支撑有走弱迹象，印尼中高品味镍矿内贸升水从10月的22美元/湿吨下调至11月的17美元/湿吨。供需方面，精炼镍基本面未有明显变化，延续过剩格局。综合而言，宏观或为镍价增加弹性，但基本面延续过剩格局，LME累库明显，矿端支撑存在减弱预期，镍价上方空间始终有限，短期镍价运行区间参考122000-132000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542"/>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11月降息符合预期，美国大选已落地，还剩下国内会议能否带来超预期政策信号，目前国内股市表现反应偏多氛围。缅甸锡矿目前并未有明确复产消息，锡矿供应仍保持偏紧态势，加工费维持低位运行，10月随着国内大型炼厂检修结束，云南、江西锡锭开工率恢复至正常水平。下游需求相对平稳，上周锡锭社会库存减214吨至9781吨。短期跟随宏观波动，高位震荡为主，波动参考25.5-26.5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7660"/>
      <w:r>
        <w:rPr>
          <w:rFonts w:hint="eastAsia" w:ascii="楷体" w:hAnsi="楷体" w:eastAsia="楷体"/>
          <w:b/>
          <w:color w:val="000000" w:themeColor="text1"/>
          <w:sz w:val="24"/>
          <w:szCs w:val="24"/>
          <w14:textFill>
            <w14:solidFill>
              <w14:schemeClr w14:val="tx1"/>
            </w14:solidFill>
          </w14:textFill>
        </w:rPr>
        <w:t>铅：安徽解除污染天气预警，铅价上行动能有限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我国再生铅主产区安徽的环保督察将持续至11月底，河南、安徽地区的重污染天气预警已陆续解除，加上目前再生铅冶炼利润修复，关注再生铅供应边际恢复情况。需求方面，下游补库以刚需为主，终端消费已逐渐步入传统淡季，铅蓄电池成品库存继续增加。库存方面，截止11月7日，全国主要市场铅锭社会库存为7.37万吨，较11月4日增加0.62万吨，较10月31日增加0.48万吨。综合而言，主产区的重污染天气预警解除，再生铅供应或边际恢复，加上社会库存累积，预计铅价上方空间有限，关注17000压力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5058"/>
      <w:r>
        <w:rPr>
          <w:rFonts w:hint="eastAsia" w:ascii="楷体" w:hAnsi="楷体" w:eastAsia="楷体"/>
          <w:b/>
          <w:color w:val="000000" w:themeColor="text1"/>
          <w:sz w:val="24"/>
          <w:szCs w:val="24"/>
          <w14:textFill>
            <w14:solidFill>
              <w14:schemeClr w14:val="tx1"/>
            </w14:solidFill>
          </w14:textFill>
        </w:rPr>
        <w:t>不锈钢：上下驱动皆有限，维持区间震荡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随着印尼镍矿审批配额释放，矿端价格支撑已有走弱迹象，11月印尼中高品味镍矿内贸升水下调至17美元/湿吨，但印尼政府把控下，未来镍矿回调节奏仍需观察。镍铁方面，镍铁厂家挺价，为不锈钢提供较强成本支撑，但鉴于不锈钢需求弱势及矿端支撑回落预期，后市镍铁价格存在小幅下调空间。供应方面，11月不锈钢粗钢排产329.6万吨，月环比增加1%。需求方面，金九银十传统旺季基本落空，房地产等宏观利好政策对不锈钢需求改善作用仍需要时间等待。社会库存方面，本周不锈钢89仓库口径社会库存98.2万吨，环比下降1.91%。综合而言，镍铁价格坚挺及社会库存去化为不锈钢价格提供支撑，但供应维持高位、矿端支撑回落预期及仓单库存高位也带来压力，不锈钢期价上下驱动皆有限，震荡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673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供需双弱格局，基本面改善有限</w:t>
      </w:r>
      <w:bookmarkEnd w:id="27"/>
    </w:p>
    <w:p>
      <w:pPr>
        <w:ind w:left="630" w:leftChars="300"/>
        <w:rPr>
          <w:rFonts w:ascii="楷体" w:hAnsi="楷体" w:eastAsia="楷体"/>
          <w:sz w:val="24"/>
          <w:szCs w:val="24"/>
        </w:rPr>
      </w:pPr>
      <w:r>
        <w:rPr>
          <w:rFonts w:hint="eastAsia" w:ascii="楷体" w:hAnsi="楷体" w:eastAsia="楷体"/>
          <w:sz w:val="24"/>
          <w:szCs w:val="24"/>
        </w:rPr>
        <w:t>11月7日，Si2412主力合约呈震荡走势，收盘价12565元/吨，较上一收盘价涨跌幅＋0.08%。供应端，西南正式进入枯水期，供应压力将边际改善，但由于北方存在新增产能投放预期;需求端，核心需求多晶硅，行业检修仍在持续，预计11月份多晶硅将下降约5%产量，同时有机硅、铝合金进入需求淡季。综合而言，行业整体呈供需双弱格局，基本面改善有限，同时月底仓单集中注销后将流回现货市场，对反弹仍有压制。美国大选确定后，国内重要会议尚未结束，政策仍有不确定性，市场存在大幅波动可能性，盘面以宽幅震荡对待，Si2412合约参考区间（12500，13400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4391"/>
      <w:r>
        <w:rPr>
          <w:rFonts w:hint="eastAsia" w:ascii="楷体" w:hAnsi="楷体" w:eastAsia="楷体"/>
          <w:b/>
          <w:color w:val="000000" w:themeColor="text1"/>
          <w:sz w:val="24"/>
          <w:szCs w:val="24"/>
          <w14:textFill>
            <w14:solidFill>
              <w14:schemeClr w14:val="tx1"/>
            </w14:solidFill>
          </w14:textFill>
        </w:rPr>
        <w:t>螺纹钢：基本面偏弱，关注政策发力情况</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落地，未来特朗普政府或提高对华的关税，可能将间接影响国内钢材出口需求，但国内财政预算方案尚未公布，情绪或仍有一定支撑。从基本面来看，步入季节性淡季，行业呈现供强需弱格局，库存去化出现边际放缓，供需压力也显现压力，钢材现货市场整体偏弱，对反弹存在压制，短期市场暂无明显驱动，以震荡对待，后续重点关注政策发力情况。</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1805"/>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395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泰南地区降水明显增多 天胶偏强运行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近期各品类胶价暂时企稳，主因泰南地区本周降水有所增加，对割胶作业影响加大。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和供应旺季上量情况，同时九月以来轮胎出口数据出现较大下滑，谨防主力下游半钢胎需求走弱。在成本企稳反弹下，短期天胶偏强震荡表现为主。</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9612"/>
      <w:r>
        <w:rPr>
          <w:rFonts w:hint="eastAsia" w:ascii="Times New Roman" w:hAnsi="Times New Roman" w:eastAsia="楷体"/>
          <w:b/>
          <w:color w:val="000000" w:themeColor="text1"/>
          <w:sz w:val="24"/>
          <w:szCs w:val="24"/>
          <w14:textFill>
            <w14:solidFill>
              <w14:schemeClr w14:val="tx1"/>
            </w14:solidFill>
          </w14:textFill>
        </w:rPr>
        <w:t>聚烯烃：聚烯烃随成本端原油波动为主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投资者继续权衡川普当选和美联储小幅降息对油价的影响，国际油价适度反弹，聚烯烃成本支撑略有好转，盘面宽幅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3086"/>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8487"/>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208"/>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1336"/>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原油方面，隔夜原油受美股及联储降息带动，短期转震荡。 PX 近期开工率有所下滑，供减需增但 PX弱势难改。本周独山能源250万吨、逸盛宁波3线200万吨装置重启，虹港250万吨PTA装置按计划检修，仪化300万吨PTA装置降负至5成，其他个别装置负荷小幅调整，至11.08 PTA负荷在80.8%。本期因部分装置检修恢复或负荷提升，聚酯负荷仍有一定提升，截至11.8初步核算国内大陆地区聚酯负荷在93.4%附近，达到年内高位。聚酯公布的装置检修计划不多，11月月均开工维持在9成以上。综合来看，PTA动态加工费回升至365元/吨中性，产业链上下游开工均维持偏高水平，11、12月装置检修较少，供需双增下PTA受成本端影响较大，近期2501合约合约运行区间为4850-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1736"/>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11.4 华东主港地区MEG港口库存约57.1万吨附近，环比上周-7.5万吨。截至11月7日，中国大陆地区乙二醇整体开工负荷在67.41%（+0.17%），其中草酸催化加氢法（合成气）制乙二醇开工负荷在60.54%（-1.84%）。下游聚酯开工情况来看，聚酯端负荷整体保持良好，截至11.7 初步核算国内大陆地区聚酯负荷在93.4%附近，尤其是长丝负荷持续较高。终端开工情况来看，截止11.1 江浙下游加弹、织造、印染负荷分别在93%、81%、89%，整体开工高位维持，坯布库存继续去化，整体织造端出货氛围尚可。综合来看，近期乙二醇国产煤化工装置检修增多，开工下滑叠加需求韧性，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0991"/>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714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期价偏强震荡</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玉米现货整体趋稳，华北与东北产区涨跌互现，南北方港口持稳；期价受农产品整体上涨带动震荡偏强，各合约小幅收涨，远月相对强于近月。对于玉米而言 ，当下市场最大担忧是新作集中上市背景下市场补库对应期现货上涨的持续性，但在我们看来，期价远月升水结构反映市场对当前年度相对乐观的供需预期， 东北产区带动南北方港口现货持续稳中有涨， 表明新作压力最大对应现货价格低点已经出现，接下来在诸如国家增储、小麦上涨及其南方港口内外贸玉米库存 偏低等潜在利 多因素的带动下甚至可能进入补库存阶段，期现货价格有望逐步震荡上行。在这种情况下，我们维持谨慎看多观点，建议投资者持有前期多单。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淀粉现货整体稳定，局部地区互有涨跌；期价跟随玉米偏强震荡，淀粉-玉米价差变动不大。对于淀粉而言， 近期淀粉 玉米价差持续小幅收涨，主要源于行业供需和原料成本短期偏空，其中行业供需端因行业库存在前期持续下滑之后出现回升，而原料成本端由于近期华北玉米持续回落，导致华北 东北玉米价差收窄。但由于副产品维持低位，而淀粉基差高企，且盘面加工利润为负，我们倾向于淀粉 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4072"/>
      <w:r>
        <w:rPr>
          <w:rFonts w:hint="eastAsia" w:ascii="楷体" w:hAnsi="楷体" w:eastAsia="楷体"/>
          <w:b/>
          <w:bCs/>
          <w:color w:val="000000" w:themeColor="text1"/>
          <w14:textFill>
            <w14:solidFill>
              <w14:schemeClr w14:val="tx1"/>
            </w14:solidFill>
          </w14:textFill>
        </w:rPr>
        <w:t>畜禽养殖：期价多有回升</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整体继续弱势，全国均价下跌0.24元至16.73元/公斤；期价整体强势，除近月11月合约外多有上涨，近月相对强于远月。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 3 月合约已经跌至过去两年春节前后低点 14 元 公斤的水平。从供应角度看，农业农村部公布的季度末生猪存栏量虽连续环比增加，但仍处于过去四年来最低水平，而今年 3 季度出栏仅次于去年，这意味着 4 季度供应环比增幅受限，这会抑制猪价下跌空间；而需求则存在较大的不确定性，受宏观经济影响，市场反映今年需求不及往年同期，这会抑制猪价上方空间。考虑到气温的下降， 再 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稳中偏弱，其中主产区均价下跌0.01元至4.47元/斤，主销区均价下跌0.04元至4.72元/斤；期价整体反弹，近月表现相对强于远月。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4815"/>
      <w:r>
        <w:rPr>
          <w:rFonts w:hint="eastAsia" w:ascii="楷体" w:hAnsi="楷体" w:eastAsia="楷体"/>
          <w:b/>
          <w:bCs/>
          <w:color w:val="000000" w:themeColor="text1"/>
          <w14:textFill>
            <w14:solidFill>
              <w14:schemeClr w14:val="tx1"/>
            </w14:solidFill>
          </w14:textFill>
        </w:rPr>
        <w:t>白糖：内外糖价高位区间宽幅震荡整理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隔日外盘，ICE原糖11号主力合约上涨0.86%，伦敦白砂糖主力合约上涨1.46%。夜盘郑糖2501主力合约下跌0.09%。巴西对外贸易秘书处( Secex )公布的出口数据显示，巴西10月出口糖3,729,366.09吨，日均出口量为169,516.64吨，较上年10月的日均出口量136,869.52吨增加29.75%。上年10月，巴西糖出口量为2,874,259.85吨。国内，新糖逐渐上量，整体是丰产预期。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42" w:name="_Toc16403"/>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内外棉价震荡偏强</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隔日外盘，因美联储降息美元走弱，ICE美棉主力大涨1.92%。夜盘郑棉2501主力合约上涨0.07%。巴西对外贸易秘书处( Secex )公布的出口数据显示，巴西10月出口棉花280,945.36吨，日均出口量为12,770.24吨，较上年10月的日均出口量10,745.65吨增加24.50%。上年10月，巴西棉花出口量为225,658.62吨。国内，本年度棉花丰产，产量预计同比增加5%-7%，供应充沛。籽棉收购价相对稳定，集中在6.1-6.4元/公斤区间。轧花厂依然持谨慎态度，风险偏好低。金九银十结束，纺织开机率逐步下降，预计短期内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32496"/>
      <w:r>
        <w:rPr>
          <w:rFonts w:hint="eastAsia" w:ascii="楷体" w:hAnsi="楷体" w:eastAsia="楷体"/>
          <w:b/>
          <w:bCs/>
          <w:color w:val="000000" w:themeColor="text1"/>
          <w14:textFill>
            <w14:solidFill>
              <w14:schemeClr w14:val="tx1"/>
            </w14:solidFill>
          </w14:textFill>
        </w:rPr>
        <w:t>苹果：区间震荡，消化前期涨幅</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上市初期鲜果低价销售极为顺畅，入库量同比大减。Mysteel农产品数据显示，截至11月6日，全国主产区苹果冷库库存量为813.44万吨，低于去年同期(2023年11月8日950.37万吨)136.93万吨，跌幅14.41%。由于目前部分主产区入库工作还在进行中，本期库存仅反应当前全国入库进度，不代表最终入库高峰值。11月7日时栖霞苹果一、二级纸袋80#的市场价为3.5元/斤，蓬莱区的则为3.7元/斤。由于前期苹果已低位区间震荡近4个月，现货带动期价上行突破后迅速吸引大量资金涌入。但本年度苹果丰产，产量同比增加，质量水平亦可，与往年大减产的牛市情况略有区别。短期内涨幅过大，震荡或者小幅回落以消化前期涨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9871"/>
      <w:r>
        <w:rPr>
          <w:rFonts w:hint="eastAsia" w:ascii="楷体" w:hAnsi="楷体" w:eastAsia="楷体"/>
          <w:b/>
          <w:bCs/>
          <w:color w:val="000000" w:themeColor="text1"/>
          <w14:textFill>
            <w14:solidFill>
              <w14:schemeClr w14:val="tx1"/>
            </w14:solidFill>
          </w14:textFill>
        </w:rPr>
        <w:t>蛋白粕：市场情绪大幅拉涨后回落</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大涨2.27%，夜盘豆二上涨0.33%，豆粕下跌0.03%；菜籽上涨0.43%，菜粕下跌0.33%。市场情绪消化后，重回基本面。海关总署11月7日发布数据，中国10月大豆进口量为808.7万吨;1-10月累计进口量为8,993.6万吨，同比增加11.2%。同时市场预计11-12月月度进口量在800万吨左右，属于维持供需平衡的数量。但由于国内需求无明显的季节性起色，在主产国供应宽松的背景下，预计震荡偏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26331"/>
      <w:r>
        <w:rPr>
          <w:rFonts w:hint="eastAsia" w:ascii="楷体" w:hAnsi="楷体" w:eastAsia="楷体"/>
          <w:b/>
          <w:bCs/>
          <w:color w:val="000000" w:themeColor="text1"/>
          <w14:textFill>
            <w14:solidFill>
              <w14:schemeClr w14:val="tx1"/>
            </w14:solidFill>
          </w14:textFill>
        </w:rPr>
        <w:t>油脂类：印度需求激增，支撑棕油价格向上突破</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0.82%，菜油上涨0.64%，棕榈油上涨0.91%。据外电11月6日消息，印度10月份棕榈油进口量较上月激增59%，创下三个月来的新高，因精炼厂提高采购量，以补充近几个月进口量低于正常水平和节日需求强劲而消耗的库存。在主产国产量下降的同时，需求端激增，期价再度突破上行。印尼再次提及B50计划，计划2028年实行。豆油因美豆价格上涨，成本增加，期价上行。菜系供应宽松，自身偏弱，跟随豆棕变动。</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5839"/>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2669"/>
      <w:r>
        <w:rPr>
          <w:rFonts w:hint="eastAsia" w:ascii="Times New Roman" w:hAnsi="Times New Roman" w:eastAsia="楷体"/>
          <w:b/>
          <w:color w:val="000000" w:themeColor="text1"/>
          <w:sz w:val="24"/>
          <w:szCs w:val="24"/>
          <w14:textFill>
            <w14:solidFill>
              <w14:schemeClr w14:val="tx1"/>
            </w14:solidFill>
          </w14:textFill>
        </w:rPr>
        <w:t>集运指数（欧线）：短期波动加剧，主力期价大幅上涨</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02合约涨8.62%至3270.9。消息面因素推动期价上行，特朗普胜选、后续政策或提升对外关税，带来一定的运费上行预期，但预计对欧线影响暂时较小。部分船司继续在旺季附加费或航线费率上有所提涨，关注后续运价走势。40GP现舱线上报价约4000美元。马士基重新提涨欧线长协旺季附加费PSS至750/1500，最早于11月15日生效。达飞亚洲至地中海及北非航线费率上调，最高涨115%，11月15日生效，其中亚洲至西地中海3800/5700。多空博弈期间留意短期波动加剧风险，上方再度面临十月前高压力，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2779"/>
      <w:bookmarkStart w:id="49" w:name="_Toc19667"/>
      <w:bookmarkStart w:id="50" w:name="_Toc71212556"/>
      <w:bookmarkStart w:id="51" w:name="_Toc72481108"/>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2024年11月8日星期五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2024-11-08T01:55:34Z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