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52" w:name="_GoBack"/>
          <w:bookmarkEnd w:id="52"/>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_Toc30200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_Toc4757 </w:instrText>
          </w:r>
          <w:r>
            <w:rPr>
              <w:bCs/>
            </w:rPr>
            <w:fldChar w:fldCharType="separate"/>
          </w:r>
          <w:r>
            <w:rPr>
              <w:rFonts w:hint="eastAsia" w:ascii="Times New Roman" w:hAnsi="Times New Roman" w:eastAsia="楷体"/>
              <w:szCs w:val="24"/>
            </w:rPr>
            <w:t>股指：震荡</w:t>
          </w:r>
          <w:r>
            <w:rPr>
              <w:bCs/>
            </w:rPr>
            <w:fldChar w:fldCharType="end"/>
          </w:r>
        </w:p>
        <w:p>
          <w:pPr>
            <w:pStyle w:val="59"/>
            <w:tabs>
              <w:tab w:val="right" w:leader="dot" w:pos="8306"/>
            </w:tabs>
          </w:pPr>
          <w:r>
            <w:rPr>
              <w:bCs/>
            </w:rPr>
            <w:fldChar w:fldCharType="begin"/>
          </w:r>
          <w:r>
            <w:rPr>
              <w:bCs/>
            </w:rPr>
            <w:instrText xml:space="preserve"> HYPERLINK \l _Toc25102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_Toc3297 </w:instrText>
          </w:r>
          <w:r>
            <w:rPr>
              <w:bCs/>
            </w:rPr>
            <w:fldChar w:fldCharType="separate"/>
          </w:r>
          <w:r>
            <w:rPr>
              <w:rFonts w:hint="eastAsia" w:ascii="Times New Roman" w:hAnsi="Times New Roman" w:eastAsia="楷体"/>
              <w:szCs w:val="24"/>
            </w:rPr>
            <w:t>贵金属：美国消费者信心指数反弹，贵金属价格上涨</w:t>
          </w:r>
          <w:r>
            <w:rPr>
              <w:bCs/>
            </w:rPr>
            <w:fldChar w:fldCharType="end"/>
          </w:r>
        </w:p>
        <w:p>
          <w:pPr>
            <w:pStyle w:val="59"/>
            <w:tabs>
              <w:tab w:val="right" w:leader="dot" w:pos="8306"/>
            </w:tabs>
          </w:pPr>
          <w:r>
            <w:rPr>
              <w:bCs/>
            </w:rPr>
            <w:fldChar w:fldCharType="begin"/>
          </w:r>
          <w:r>
            <w:rPr>
              <w:bCs/>
            </w:rPr>
            <w:instrText xml:space="preserve"> HYPERLINK \l _Toc25885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_Toc9466 </w:instrText>
          </w:r>
          <w:r>
            <w:rPr>
              <w:bCs/>
            </w:rPr>
            <w:fldChar w:fldCharType="separate"/>
          </w:r>
          <w:r>
            <w:rPr>
              <w:rFonts w:hint="eastAsia" w:ascii="楷体" w:hAnsi="楷体" w:eastAsia="楷体"/>
              <w:szCs w:val="24"/>
            </w:rPr>
            <w:t>碳酸锂：碳酸锂周度库存维持去化，期价震荡上涨</w:t>
          </w:r>
          <w:r>
            <w:rPr>
              <w:bCs/>
            </w:rPr>
            <w:fldChar w:fldCharType="end"/>
          </w:r>
        </w:p>
        <w:p>
          <w:pPr>
            <w:pStyle w:val="74"/>
            <w:tabs>
              <w:tab w:val="right" w:leader="dot" w:pos="8306"/>
            </w:tabs>
          </w:pPr>
          <w:r>
            <w:rPr>
              <w:bCs/>
            </w:rPr>
            <w:fldChar w:fldCharType="begin"/>
          </w:r>
          <w:r>
            <w:rPr>
              <w:bCs/>
            </w:rPr>
            <w:instrText xml:space="preserve"> HYPERLINK \l _Toc21408 </w:instrText>
          </w:r>
          <w:r>
            <w:rPr>
              <w:bCs/>
            </w:rPr>
            <w:fldChar w:fldCharType="separate"/>
          </w:r>
          <w:r>
            <w:rPr>
              <w:rFonts w:hint="eastAsia" w:ascii="楷体" w:hAnsi="楷体" w:eastAsia="楷体"/>
              <w:szCs w:val="24"/>
            </w:rPr>
            <w:t>铝：短期震荡盘整，中长维持偏多观点</w:t>
          </w:r>
          <w:r>
            <w:rPr>
              <w:bCs/>
            </w:rPr>
            <w:fldChar w:fldCharType="end"/>
          </w:r>
        </w:p>
        <w:p>
          <w:pPr>
            <w:pStyle w:val="74"/>
            <w:tabs>
              <w:tab w:val="right" w:leader="dot" w:pos="8306"/>
            </w:tabs>
          </w:pPr>
          <w:r>
            <w:rPr>
              <w:bCs/>
            </w:rPr>
            <w:fldChar w:fldCharType="begin"/>
          </w:r>
          <w:r>
            <w:rPr>
              <w:bCs/>
            </w:rPr>
            <w:instrText xml:space="preserve"> HYPERLINK \l _Toc25898 </w:instrText>
          </w:r>
          <w:r>
            <w:rPr>
              <w:bCs/>
            </w:rPr>
            <w:fldChar w:fldCharType="separate"/>
          </w:r>
          <w:r>
            <w:rPr>
              <w:rFonts w:hint="eastAsia" w:ascii="楷体" w:hAnsi="楷体" w:eastAsia="楷体"/>
              <w:szCs w:val="24"/>
            </w:rPr>
            <w:t>锌：锌价承压运行</w:t>
          </w:r>
          <w:r>
            <w:rPr>
              <w:bCs/>
            </w:rPr>
            <w:fldChar w:fldCharType="end"/>
          </w:r>
        </w:p>
        <w:p>
          <w:pPr>
            <w:pStyle w:val="74"/>
            <w:tabs>
              <w:tab w:val="right" w:leader="dot" w:pos="8306"/>
            </w:tabs>
          </w:pPr>
          <w:r>
            <w:rPr>
              <w:bCs/>
            </w:rPr>
            <w:fldChar w:fldCharType="begin"/>
          </w:r>
          <w:r>
            <w:rPr>
              <w:bCs/>
            </w:rPr>
            <w:instrText xml:space="preserve"> HYPERLINK \l _Toc24458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：保持区间震荡</w:t>
          </w:r>
          <w:r>
            <w:rPr>
              <w:bCs/>
            </w:rPr>
            <w:fldChar w:fldCharType="end"/>
          </w:r>
        </w:p>
        <w:p>
          <w:pPr>
            <w:pStyle w:val="74"/>
            <w:tabs>
              <w:tab w:val="right" w:leader="dot" w:pos="8306"/>
            </w:tabs>
          </w:pPr>
          <w:r>
            <w:rPr>
              <w:bCs/>
            </w:rPr>
            <w:fldChar w:fldCharType="begin"/>
          </w:r>
          <w:r>
            <w:rPr>
              <w:bCs/>
            </w:rPr>
            <w:instrText xml:space="preserve"> HYPERLINK \l _Toc3360 </w:instrText>
          </w:r>
          <w:r>
            <w:rPr>
              <w:bCs/>
            </w:rPr>
            <w:fldChar w:fldCharType="separate"/>
          </w:r>
          <w:r>
            <w:rPr>
              <w:rFonts w:hint="eastAsia" w:ascii="楷体" w:hAnsi="楷体" w:eastAsia="楷体"/>
              <w:szCs w:val="24"/>
            </w:rPr>
            <w:t>镍：维持偏空思路，关注宏观叙事</w:t>
          </w:r>
          <w:r>
            <w:rPr>
              <w:bCs/>
            </w:rPr>
            <w:fldChar w:fldCharType="end"/>
          </w:r>
        </w:p>
        <w:p>
          <w:pPr>
            <w:pStyle w:val="74"/>
            <w:tabs>
              <w:tab w:val="right" w:leader="dot" w:pos="8306"/>
            </w:tabs>
          </w:pPr>
          <w:r>
            <w:rPr>
              <w:bCs/>
            </w:rPr>
            <w:fldChar w:fldCharType="begin"/>
          </w:r>
          <w:r>
            <w:rPr>
              <w:bCs/>
            </w:rPr>
            <w:instrText xml:space="preserve"> HYPERLINK \l _Toc28977 </w:instrText>
          </w:r>
          <w:r>
            <w:rPr>
              <w:bCs/>
            </w:rPr>
            <w:fldChar w:fldCharType="separate"/>
          </w:r>
          <w:r>
            <w:rPr>
              <w:rFonts w:hint="eastAsia" w:ascii="楷体" w:hAnsi="楷体" w:eastAsia="楷体"/>
              <w:szCs w:val="24"/>
            </w:rPr>
            <w:t>锡：高位震荡</w:t>
          </w:r>
          <w:r>
            <w:rPr>
              <w:bCs/>
            </w:rPr>
            <w:fldChar w:fldCharType="end"/>
          </w:r>
        </w:p>
        <w:p>
          <w:pPr>
            <w:pStyle w:val="74"/>
            <w:tabs>
              <w:tab w:val="right" w:leader="dot" w:pos="8306"/>
            </w:tabs>
          </w:pPr>
          <w:r>
            <w:rPr>
              <w:bCs/>
            </w:rPr>
            <w:fldChar w:fldCharType="begin"/>
          </w:r>
          <w:r>
            <w:rPr>
              <w:bCs/>
            </w:rPr>
            <w:instrText xml:space="preserve"> HYPERLINK \l _Toc30129 </w:instrText>
          </w:r>
          <w:r>
            <w:rPr>
              <w:bCs/>
            </w:rPr>
            <w:fldChar w:fldCharType="separate"/>
          </w:r>
          <w:r>
            <w:rPr>
              <w:rFonts w:hint="eastAsia" w:ascii="楷体" w:hAnsi="楷体" w:eastAsia="楷体"/>
              <w:szCs w:val="24"/>
            </w:rPr>
            <w:t>铅：供需走弱与成本支撑交织，铅价或震荡运行</w:t>
          </w:r>
          <w:r>
            <w:rPr>
              <w:bCs/>
            </w:rPr>
            <w:fldChar w:fldCharType="end"/>
          </w:r>
        </w:p>
        <w:p>
          <w:pPr>
            <w:pStyle w:val="74"/>
            <w:tabs>
              <w:tab w:val="right" w:leader="dot" w:pos="8306"/>
            </w:tabs>
          </w:pPr>
          <w:r>
            <w:rPr>
              <w:bCs/>
            </w:rPr>
            <w:fldChar w:fldCharType="begin"/>
          </w:r>
          <w:r>
            <w:rPr>
              <w:bCs/>
            </w:rPr>
            <w:instrText xml:space="preserve"> HYPERLINK \l _Toc12423 </w:instrText>
          </w:r>
          <w:r>
            <w:rPr>
              <w:bCs/>
            </w:rPr>
            <w:fldChar w:fldCharType="separate"/>
          </w:r>
          <w:r>
            <w:rPr>
              <w:rFonts w:hint="eastAsia" w:ascii="楷体" w:hAnsi="楷体" w:eastAsia="楷体"/>
              <w:szCs w:val="24"/>
            </w:rPr>
            <w:t>不锈钢：弱需求与高成本，期价上下两难</w:t>
          </w:r>
          <w:r>
            <w:rPr>
              <w:bCs/>
            </w:rPr>
            <w:fldChar w:fldCharType="end"/>
          </w:r>
        </w:p>
        <w:p>
          <w:pPr>
            <w:pStyle w:val="74"/>
            <w:tabs>
              <w:tab w:val="right" w:leader="dot" w:pos="8306"/>
            </w:tabs>
          </w:pPr>
          <w:r>
            <w:rPr>
              <w:bCs/>
            </w:rPr>
            <w:fldChar w:fldCharType="begin"/>
          </w:r>
          <w:r>
            <w:rPr>
              <w:bCs/>
            </w:rPr>
            <w:instrText xml:space="preserve"> HYPERLINK \l _Toc22454 </w:instrText>
          </w:r>
          <w:r>
            <w:rPr>
              <w:bCs/>
            </w:rPr>
            <w:fldChar w:fldCharType="separate"/>
          </w:r>
          <w:r>
            <w:rPr>
              <w:rFonts w:hint="eastAsia" w:ascii="楷体" w:hAnsi="楷体" w:eastAsia="楷体"/>
              <w:szCs w:val="24"/>
            </w:rPr>
            <w:t>工业硅：利好消息刺激，盘面大幅反弹</w:t>
          </w:r>
          <w:r>
            <w:rPr>
              <w:bCs/>
            </w:rPr>
            <w:fldChar w:fldCharType="end"/>
          </w:r>
        </w:p>
        <w:p>
          <w:pPr>
            <w:pStyle w:val="74"/>
            <w:tabs>
              <w:tab w:val="right" w:leader="dot" w:pos="8306"/>
            </w:tabs>
          </w:pPr>
          <w:r>
            <w:rPr>
              <w:bCs/>
            </w:rPr>
            <w:fldChar w:fldCharType="begin"/>
          </w:r>
          <w:r>
            <w:rPr>
              <w:bCs/>
            </w:rPr>
            <w:instrText xml:space="preserve"> HYPERLINK \l _Toc2304 </w:instrText>
          </w:r>
          <w:r>
            <w:rPr>
              <w:bCs/>
            </w:rPr>
            <w:fldChar w:fldCharType="separate"/>
          </w:r>
          <w:r>
            <w:rPr>
              <w:rFonts w:hint="eastAsia" w:ascii="楷体" w:hAnsi="楷体" w:eastAsia="楷体"/>
              <w:szCs w:val="24"/>
            </w:rPr>
            <w:t>螺纹钢：政策预期升温，短期或震荡偏强</w:t>
          </w:r>
          <w:r>
            <w:rPr>
              <w:bCs/>
            </w:rPr>
            <w:fldChar w:fldCharType="end"/>
          </w:r>
        </w:p>
        <w:p>
          <w:pPr>
            <w:pStyle w:val="59"/>
            <w:tabs>
              <w:tab w:val="right" w:leader="dot" w:pos="8306"/>
            </w:tabs>
          </w:pPr>
          <w:r>
            <w:rPr>
              <w:bCs/>
            </w:rPr>
            <w:fldChar w:fldCharType="begin"/>
          </w:r>
          <w:r>
            <w:rPr>
              <w:bCs/>
            </w:rPr>
            <w:instrText xml:space="preserve"> HYPERLINK \l _Toc14028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_Toc1504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主产区天气持续转好 浅色胶价格大跌</w:t>
          </w:r>
          <w:r>
            <w:rPr>
              <w:bCs/>
            </w:rPr>
            <w:fldChar w:fldCharType="end"/>
          </w:r>
        </w:p>
        <w:p>
          <w:pPr>
            <w:pStyle w:val="74"/>
            <w:tabs>
              <w:tab w:val="right" w:leader="dot" w:pos="8306"/>
            </w:tabs>
          </w:pPr>
          <w:r>
            <w:rPr>
              <w:bCs/>
            </w:rPr>
            <w:fldChar w:fldCharType="begin"/>
          </w:r>
          <w:r>
            <w:rPr>
              <w:bCs/>
            </w:rPr>
            <w:instrText xml:space="preserve"> HYPERLINK \l _Toc30449 </w:instrText>
          </w:r>
          <w:r>
            <w:rPr>
              <w:bCs/>
            </w:rPr>
            <w:fldChar w:fldCharType="separate"/>
          </w:r>
          <w:r>
            <w:rPr>
              <w:rFonts w:hint="eastAsia" w:ascii="Times New Roman" w:hAnsi="Times New Roman" w:eastAsia="楷体"/>
              <w:szCs w:val="24"/>
            </w:rPr>
            <w:t>聚烯烃：旺季需求提振有限，聚烯烃随原油波动为主</w:t>
          </w:r>
          <w:r>
            <w:rPr>
              <w:bCs/>
            </w:rPr>
            <w:fldChar w:fldCharType="end"/>
          </w:r>
        </w:p>
        <w:p>
          <w:pPr>
            <w:pStyle w:val="74"/>
            <w:tabs>
              <w:tab w:val="right" w:leader="dot" w:pos="8306"/>
            </w:tabs>
          </w:pPr>
          <w:r>
            <w:rPr>
              <w:bCs/>
            </w:rPr>
            <w:fldChar w:fldCharType="begin"/>
          </w:r>
          <w:r>
            <w:rPr>
              <w:bCs/>
            </w:rPr>
            <w:instrText xml:space="preserve"> HYPERLINK \l _Toc4547 </w:instrText>
          </w:r>
          <w:r>
            <w:rPr>
              <w:bCs/>
            </w:rPr>
            <w:fldChar w:fldCharType="separate"/>
          </w:r>
          <w:r>
            <w:rPr>
              <w:rFonts w:hint="eastAsia" w:ascii="Times New Roman" w:hAnsi="Times New Roman" w:eastAsia="楷体"/>
              <w:szCs w:val="24"/>
            </w:rPr>
            <w:t>原油：飓风Francine助力，原油期货强势反弹</w:t>
          </w:r>
          <w:r>
            <w:rPr>
              <w:bCs/>
            </w:rPr>
            <w:fldChar w:fldCharType="end"/>
          </w:r>
        </w:p>
        <w:p>
          <w:pPr>
            <w:pStyle w:val="74"/>
            <w:tabs>
              <w:tab w:val="right" w:leader="dot" w:pos="8306"/>
            </w:tabs>
          </w:pPr>
          <w:r>
            <w:rPr>
              <w:bCs/>
            </w:rPr>
            <w:fldChar w:fldCharType="begin"/>
          </w:r>
          <w:r>
            <w:rPr>
              <w:bCs/>
            </w:rPr>
            <w:instrText xml:space="preserve"> HYPERLINK \l _Toc7271 </w:instrText>
          </w:r>
          <w:r>
            <w:rPr>
              <w:bCs/>
            </w:rPr>
            <w:fldChar w:fldCharType="separate"/>
          </w:r>
          <w:r>
            <w:rPr>
              <w:rFonts w:hint="eastAsia" w:ascii="Times New Roman" w:hAnsi="Times New Roman" w:eastAsia="楷体"/>
              <w:szCs w:val="24"/>
            </w:rPr>
            <w:t>燃料油及低硫燃料油：燃料油期货夜盘上扬，弱势格局待破局</w:t>
          </w:r>
          <w:r>
            <w:rPr>
              <w:bCs/>
            </w:rPr>
            <w:fldChar w:fldCharType="end"/>
          </w:r>
        </w:p>
        <w:p>
          <w:pPr>
            <w:pStyle w:val="74"/>
            <w:tabs>
              <w:tab w:val="right" w:leader="dot" w:pos="8306"/>
            </w:tabs>
          </w:pPr>
          <w:r>
            <w:rPr>
              <w:bCs/>
            </w:rPr>
            <w:fldChar w:fldCharType="begin"/>
          </w:r>
          <w:r>
            <w:rPr>
              <w:bCs/>
            </w:rPr>
            <w:instrText xml:space="preserve"> HYPERLINK \l _Toc15264 </w:instrText>
          </w:r>
          <w:r>
            <w:rPr>
              <w:bCs/>
            </w:rPr>
            <w:fldChar w:fldCharType="separate"/>
          </w:r>
          <w:r>
            <w:rPr>
              <w:rFonts w:hint="eastAsia" w:ascii="Times New Roman" w:hAnsi="Times New Roman" w:eastAsia="楷体"/>
              <w:szCs w:val="24"/>
            </w:rPr>
            <w:t>沥青：沥青期货价格上扬，弱稳格局待突破</w:t>
          </w:r>
          <w:r>
            <w:rPr>
              <w:bCs/>
            </w:rPr>
            <w:fldChar w:fldCharType="end"/>
          </w:r>
        </w:p>
        <w:p>
          <w:pPr>
            <w:pStyle w:val="74"/>
            <w:tabs>
              <w:tab w:val="right" w:leader="dot" w:pos="8306"/>
            </w:tabs>
          </w:pPr>
          <w:r>
            <w:rPr>
              <w:bCs/>
            </w:rPr>
            <w:fldChar w:fldCharType="begin"/>
          </w:r>
          <w:r>
            <w:rPr>
              <w:bCs/>
            </w:rPr>
            <w:instrText xml:space="preserve"> HYPERLINK \l _Toc28474 </w:instrText>
          </w:r>
          <w:r>
            <w:rPr>
              <w:bCs/>
            </w:rPr>
            <w:fldChar w:fldCharType="separate"/>
          </w:r>
          <w:r>
            <w:rPr>
              <w:rFonts w:hint="eastAsia" w:ascii="Times New Roman" w:hAnsi="Times New Roman" w:eastAsia="楷体"/>
              <w:szCs w:val="24"/>
            </w:rPr>
            <w:t>PTA：跟随宏观及成本端波动</w:t>
          </w:r>
          <w:r>
            <w:rPr>
              <w:bCs/>
            </w:rPr>
            <w:fldChar w:fldCharType="end"/>
          </w:r>
        </w:p>
        <w:p>
          <w:pPr>
            <w:pStyle w:val="74"/>
            <w:tabs>
              <w:tab w:val="right" w:leader="dot" w:pos="8306"/>
            </w:tabs>
          </w:pPr>
          <w:r>
            <w:rPr>
              <w:bCs/>
            </w:rPr>
            <w:fldChar w:fldCharType="begin"/>
          </w:r>
          <w:r>
            <w:rPr>
              <w:bCs/>
            </w:rPr>
            <w:instrText xml:space="preserve"> HYPERLINK \l _Toc29839 </w:instrText>
          </w:r>
          <w:r>
            <w:rPr>
              <w:bCs/>
            </w:rPr>
            <w:fldChar w:fldCharType="separate"/>
          </w:r>
          <w:r>
            <w:rPr>
              <w:rFonts w:hint="eastAsia" w:ascii="Times New Roman" w:hAnsi="Times New Roman" w:eastAsia="楷体"/>
              <w:szCs w:val="24"/>
            </w:rPr>
            <w:t>乙二醇：成本下行叠加库存累积 震荡偏弱</w:t>
          </w:r>
          <w:r>
            <w:rPr>
              <w:bCs/>
            </w:rPr>
            <w:fldChar w:fldCharType="end"/>
          </w:r>
        </w:p>
        <w:p>
          <w:pPr>
            <w:pStyle w:val="59"/>
            <w:tabs>
              <w:tab w:val="right" w:leader="dot" w:pos="8306"/>
            </w:tabs>
          </w:pPr>
          <w:r>
            <w:rPr>
              <w:bCs/>
            </w:rPr>
            <w:fldChar w:fldCharType="begin"/>
          </w:r>
          <w:r>
            <w:rPr>
              <w:bCs/>
            </w:rPr>
            <w:instrText xml:space="preserve"> HYPERLINK \l _Toc18519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_Toc5404 </w:instrText>
          </w:r>
          <w:r>
            <w:rPr>
              <w:bCs/>
            </w:rPr>
            <w:fldChar w:fldCharType="separate"/>
          </w:r>
          <w:r>
            <w:rPr>
              <w:rFonts w:hint="eastAsia" w:ascii="楷体" w:hAnsi="楷体" w:eastAsia="楷体"/>
              <w:bCs/>
            </w:rPr>
            <w:t>玉米与淀粉：</w:t>
          </w:r>
          <w:r>
            <w:rPr>
              <w:rFonts w:hint="eastAsia" w:ascii="楷体" w:hAnsi="楷体" w:eastAsia="楷体"/>
            </w:rPr>
            <w:t>周末现货继续分化</w:t>
          </w:r>
          <w:r>
            <w:rPr>
              <w:bCs/>
            </w:rPr>
            <w:fldChar w:fldCharType="end"/>
          </w:r>
        </w:p>
        <w:p>
          <w:pPr>
            <w:pStyle w:val="74"/>
            <w:tabs>
              <w:tab w:val="right" w:leader="dot" w:pos="8306"/>
            </w:tabs>
          </w:pPr>
          <w:r>
            <w:rPr>
              <w:bCs/>
            </w:rPr>
            <w:fldChar w:fldCharType="begin"/>
          </w:r>
          <w:r>
            <w:rPr>
              <w:bCs/>
            </w:rPr>
            <w:instrText xml:space="preserve"> HYPERLINK \l _Toc15396 </w:instrText>
          </w:r>
          <w:r>
            <w:rPr>
              <w:bCs/>
            </w:rPr>
            <w:fldChar w:fldCharType="separate"/>
          </w:r>
          <w:r>
            <w:rPr>
              <w:rFonts w:hint="eastAsia" w:ascii="楷体" w:hAnsi="楷体" w:eastAsia="楷体"/>
              <w:bCs/>
            </w:rPr>
            <w:t>畜禽养殖：周末现货稳中偏弱</w:t>
          </w:r>
          <w:r>
            <w:rPr>
              <w:bCs/>
            </w:rPr>
            <w:fldChar w:fldCharType="end"/>
          </w:r>
        </w:p>
        <w:p>
          <w:pPr>
            <w:pStyle w:val="74"/>
            <w:tabs>
              <w:tab w:val="right" w:leader="dot" w:pos="8306"/>
            </w:tabs>
          </w:pPr>
          <w:r>
            <w:rPr>
              <w:bCs/>
            </w:rPr>
            <w:fldChar w:fldCharType="begin"/>
          </w:r>
          <w:r>
            <w:rPr>
              <w:bCs/>
            </w:rPr>
            <w:instrText xml:space="preserve"> HYPERLINK \l _Toc11767 </w:instrText>
          </w:r>
          <w:r>
            <w:rPr>
              <w:bCs/>
            </w:rPr>
            <w:fldChar w:fldCharType="separate"/>
          </w:r>
          <w:r>
            <w:rPr>
              <w:rFonts w:hint="eastAsia" w:ascii="楷体" w:hAnsi="楷体" w:eastAsia="楷体"/>
              <w:bCs/>
            </w:rPr>
            <w:t>白糖：国际糖价震荡偏弱，郑糖震荡整理</w:t>
          </w:r>
          <w:r>
            <w:rPr>
              <w:bCs/>
            </w:rPr>
            <w:fldChar w:fldCharType="end"/>
          </w:r>
        </w:p>
        <w:p>
          <w:pPr>
            <w:pStyle w:val="74"/>
            <w:tabs>
              <w:tab w:val="right" w:leader="dot" w:pos="8306"/>
            </w:tabs>
          </w:pPr>
          <w:r>
            <w:rPr>
              <w:bCs/>
            </w:rPr>
            <w:fldChar w:fldCharType="begin"/>
          </w:r>
          <w:r>
            <w:rPr>
              <w:bCs/>
            </w:rPr>
            <w:instrText xml:space="preserve"> HYPERLINK \l _Toc14059 </w:instrText>
          </w:r>
          <w:r>
            <w:rPr>
              <w:bCs/>
            </w:rPr>
            <w:fldChar w:fldCharType="separate"/>
          </w:r>
          <w:r>
            <w:rPr>
              <w:rFonts w:hint="eastAsia" w:ascii="楷体" w:hAnsi="楷体" w:eastAsia="楷体"/>
              <w:bCs/>
            </w:rPr>
            <w:t>棉花：预计郑棉区间震荡</w:t>
          </w:r>
          <w:r>
            <w:rPr>
              <w:bCs/>
            </w:rPr>
            <w:fldChar w:fldCharType="end"/>
          </w:r>
        </w:p>
        <w:p>
          <w:pPr>
            <w:pStyle w:val="74"/>
            <w:tabs>
              <w:tab w:val="right" w:leader="dot" w:pos="8306"/>
            </w:tabs>
          </w:pPr>
          <w:r>
            <w:rPr>
              <w:bCs/>
            </w:rPr>
            <w:fldChar w:fldCharType="begin"/>
          </w:r>
          <w:r>
            <w:rPr>
              <w:bCs/>
            </w:rPr>
            <w:instrText xml:space="preserve"> HYPERLINK \l _Toc1843 </w:instrText>
          </w:r>
          <w:r>
            <w:rPr>
              <w:bCs/>
            </w:rPr>
            <w:fldChar w:fldCharType="separate"/>
          </w:r>
          <w:r>
            <w:rPr>
              <w:rFonts w:hint="eastAsia" w:ascii="楷体" w:hAnsi="楷体" w:eastAsia="楷体"/>
              <w:bCs/>
            </w:rPr>
            <w:t>蛋白粕：基本面偏空不改，期价偏弱运行</w:t>
          </w:r>
          <w:r>
            <w:rPr>
              <w:bCs/>
            </w:rPr>
            <w:fldChar w:fldCharType="end"/>
          </w:r>
        </w:p>
        <w:p>
          <w:pPr>
            <w:pStyle w:val="74"/>
            <w:tabs>
              <w:tab w:val="right" w:leader="dot" w:pos="8306"/>
            </w:tabs>
          </w:pPr>
          <w:r>
            <w:rPr>
              <w:bCs/>
            </w:rPr>
            <w:fldChar w:fldCharType="begin"/>
          </w:r>
          <w:r>
            <w:rPr>
              <w:bCs/>
            </w:rPr>
            <w:instrText xml:space="preserve"> HYPERLINK \l _Toc416 </w:instrText>
          </w:r>
          <w:r>
            <w:rPr>
              <w:bCs/>
            </w:rPr>
            <w:fldChar w:fldCharType="separate"/>
          </w:r>
          <w:r>
            <w:rPr>
              <w:rFonts w:hint="eastAsia" w:ascii="楷体" w:hAnsi="楷体" w:eastAsia="楷体"/>
              <w:bCs/>
            </w:rPr>
            <w:t>油脂类：多头暂获利离场，等待回调后逢低布多</w:t>
          </w:r>
          <w:r>
            <w:rPr>
              <w:bCs/>
            </w:rPr>
            <w:fldChar w:fldCharType="end"/>
          </w:r>
        </w:p>
        <w:p>
          <w:pPr>
            <w:pStyle w:val="59"/>
            <w:tabs>
              <w:tab w:val="right" w:leader="dot" w:pos="8306"/>
            </w:tabs>
          </w:pPr>
          <w:r>
            <w:rPr>
              <w:bCs/>
            </w:rPr>
            <w:fldChar w:fldCharType="begin"/>
          </w:r>
          <w:r>
            <w:rPr>
              <w:bCs/>
            </w:rPr>
            <w:instrText xml:space="preserve"> HYPERLINK \l _Toc2680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_Toc6596 </w:instrText>
          </w:r>
          <w:r>
            <w:rPr>
              <w:bCs/>
            </w:rPr>
            <w:fldChar w:fldCharType="separate"/>
          </w:r>
          <w:r>
            <w:rPr>
              <w:rFonts w:hint="eastAsia" w:ascii="Times New Roman" w:hAnsi="Times New Roman" w:eastAsia="楷体"/>
              <w:szCs w:val="24"/>
            </w:rPr>
            <w:t>集运指数（欧线）：11月现舱报价上行，主力合约上涨</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30200"/>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4757"/>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震荡</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短期市场总体波动率已下降，但仍有结构性热度，交易性资金活跃度仍偏高，小盘成长风格占优，成长相对性价比处于低位。11月初，人大常委会财政政策效果验证期开启，海外美国大选落地后，美国政策布局期开启。目前市场预期是美国加码贸易政策，国内政策发力对冲。如果美国政策布局反反复复，后续海外环境复杂程度明显增加，短期A股快速凝聚的做多力量可能被逐步消磨。</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25102"/>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3297"/>
      <w:r>
        <w:rPr>
          <w:rFonts w:hint="eastAsia" w:ascii="Times New Roman" w:hAnsi="Times New Roman" w:eastAsia="楷体"/>
          <w:b/>
          <w:color w:val="000000" w:themeColor="text1"/>
          <w:sz w:val="24"/>
          <w:szCs w:val="24"/>
          <w14:textFill>
            <w14:solidFill>
              <w14:schemeClr w14:val="tx1"/>
            </w14:solidFill>
          </w14:textFill>
        </w:rPr>
        <w:t>贵金属：美国消费者信心指数反弹，贵金属价格上涨</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上周五夜盘沪金涨0.58%至627.36元/克，上周累计上涨1.47%；沪银涨0.44%至8197元/千克，上周累计上涨4.01%。美国10月密歇根大学消费者信心指数终值反弹至70.5，略高于预期，前值68.9。截至10月22日当周，COMEX黄金期货管理基金净多持仓增加5739手至205160手，COMEX白银期货管理基金净多持仓增加10934手至45635手。截至10月25日，SPDR黄金ETF持仓889.78吨，周内流入1.15吨；SLV白银ETF持仓14873.07吨，周内流入106.36吨。后续避险情绪略微降温，海外持续降息、美国大选临近，金砖国家峰会围绕去美元化的对话或仍提振贵金属表现，期价后市或高位震荡。</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金属"/>
      <w:bookmarkStart w:id="11" w:name="_Toc3096"/>
      <w:bookmarkStart w:id="12" w:name="_Toc20891"/>
      <w:bookmarkStart w:id="13" w:name="_Toc25885"/>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9466"/>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碳酸锂：碳酸锂周度库存维持去化，期价震荡上涨</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上周期价震荡上涨，上周五11合约收涨0.88%至74700元/吨，上周累计上涨6.56%。碳酸锂周度产量小幅上升。最新当周碳酸锂周度开工率基本持平于约47%，锂辉石提锂开工率微涨至约54%，锂云母提锂开工率约26%，盐湖提锂开工率持平于约67%。最新当周碳酸锂周度库存维持回落，周环比下降1.82%至约11.65万吨；上游库存周环比下降9.11%至约4.60万吨，贸易商等中游环节库存周环比小幅增加1.66%至约3.86万吨，下游库存周环比增加6.03%至约3.19万吨。期货仓单方面，10月25日增加76吨，总量43416吨，周环比减2.09%；交割方面，10月23日配对664手、24日完成交割664吨，10月累计交割12403吨。消息面上，盐湖提锂相关技术在学界有突破进展，另外美国商务部于10月21日起启动变更情况审查，考虑部分撤销中国晶体硅光伏电池的反倾销税和反补贴税。光伏产业政策利好、盐湖提锂技术进展等消息面因素刺激新能源板块，基本面方面上游库存加速去化，前期旺季部分刚需采购支撑价格表现，碳酸锂期价或区间震荡。</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8" w:name="_Toc8897"/>
      <w:bookmarkStart w:id="19" w:name="_Toc6247"/>
      <w:bookmarkStart w:id="20" w:name="_Toc21408"/>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短期震荡盘整，中长维持偏多观点</w:t>
      </w:r>
      <w:bookmarkEnd w:id="20"/>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宏观情绪持续拉扯，地缘政治冲突频发，美国降息节奏放缓，国内市场经济复苏回暖，三季度GDP表现亮眼，但资本市场仍对全球经济表现存疑，宏观情绪多空交织变化反复。</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几内亚雨季进入尾声后，预计当地铝土矿发运节奏逐步恢复更甚有所加快，或在11月中下旬体现出海外矿端增量补充，考虑到国内矿产在冬季环保下压力较大，后续原料对外依存度可能会进一步提增，氧化铝价格在原料供应紧张的刺激下持续攀升，强化电解铝成本支撑，目前电解铝冶炼开工高位，供应宽松抑制铝价上行，实际在电解铝4500万吨产能天花板要求下产能再大幅提增可能较小，下游需求在旺季刺激下确有明显改善，更多为新能源汽车及光伏市场刺激消费，交易所+社会库存保持去库态势。</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宏观情绪扰动多变，基本面保持供应高位但有产能天花板，下游需求有乐观预期逐步改善，近期铝价保持20500-21000区间窄幅震荡，短线较难把握市场情绪，中长线维持低多配置。</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25898"/>
      <w:r>
        <w:rPr>
          <w:rFonts w:hint="eastAsia" w:ascii="楷体" w:hAnsi="楷体" w:eastAsia="楷体"/>
          <w:b/>
          <w:color w:val="000000" w:themeColor="text1"/>
          <w:sz w:val="24"/>
          <w:szCs w:val="24"/>
          <w14:textFill>
            <w14:solidFill>
              <w14:schemeClr w14:val="tx1"/>
            </w14:solidFill>
          </w14:textFill>
        </w:rPr>
        <w:t>锌：锌价承压运行</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国内外锌精矿供应持续紧张，锌精矿加工费保持低位，矿端紧张格局年内难以改善。冶炼企业平均亏损依旧在2000元/吨左右，10月锌锭产量提升有限，进口方面，进口锌锭在亏损状态下补充有限，据SMM，周度下游企业开工率除氧化锌外其余板块开工率均有下滑，旺季之下需求仍无明显改善，是价格上行拖累项，社会库存出现小幅累增。供应边际收紧预期已充分反映在前期盘面上涨当中，需求疲软压制上方空间，锌价前高压力之下承压运行。</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24458"/>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：保持区间震荡</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(1)库存：10月25日，SHFE仓单库存57543吨，日减967吨；SHFE周库存163075吨，较上周五减5350吨；LME仓单库存276775吨，日减1550吨。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(2)精废价差：10月25日，Mysteel精废价差1152，扩张120。目前价差在合理价差1466之下。</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美国大选不确定性和降息预期降温，美元指数保持偏强，对短期铜价仍有压制。国内方面，短期市场情绪跟随官方论调和市场传闻，当前国内政策交易尚未结束，不排除后续有超预期财政政策落地给资本市场带来强驱动，整体国内宏观层面仍提供支撑。基本面，虽然目前TC有小幅上涨，但由于现货散单TC持续偏低，明年长单的确定或存在较大分歧，而倘若长时间的低加工费可能会令冶炼厂存在减产压力。整体而言，短期铜价主要跟随宏观情绪波动，预计区间震荡为主，趋势性行情暂难出现，短期价格波动参考7.6-7.9万。</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3360"/>
      <w:r>
        <w:rPr>
          <w:rFonts w:hint="eastAsia" w:ascii="楷体" w:hAnsi="楷体" w:eastAsia="楷体"/>
          <w:b/>
          <w:color w:val="000000" w:themeColor="text1"/>
          <w:sz w:val="24"/>
          <w:szCs w:val="24"/>
          <w14:textFill>
            <w14:solidFill>
              <w14:schemeClr w14:val="tx1"/>
            </w14:solidFill>
          </w14:textFill>
        </w:rPr>
        <w:t>镍：维持偏空思路，关注宏观叙事</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国内宏观焦点在于11月4-8日人大会议的财政政策力度；海外美联储降息预期降温，美国大选特朗普支持率上升，美元指数走强，施压金属板块。镍矿方面，印尼中高品味镍矿内贸升水坚挺，但随着镍矿RKAB配额释放，市场对镍矿端支撑持有回落预期。供需方面，精炼镍基本面未有明显变化，近期下游成交氛围清淡，中长期主线仍是过剩压力，海内外库存趋势性累库，上周社库增幅2.57%。综合而言，短期宏观氛围偏空，过剩格局与趋势性累库持续对镍价施压，加上印尼镍矿支撑回落预期，对镍价维持偏空思路，后市主要关注印尼镍矿价格指引及宏观变化。</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28977"/>
      <w:r>
        <w:rPr>
          <w:rFonts w:hint="eastAsia" w:ascii="楷体" w:hAnsi="楷体" w:eastAsia="楷体"/>
          <w:b/>
          <w:color w:val="000000" w:themeColor="text1"/>
          <w:sz w:val="24"/>
          <w:szCs w:val="24"/>
          <w14:textFill>
            <w14:solidFill>
              <w14:schemeClr w14:val="tx1"/>
            </w14:solidFill>
          </w14:textFill>
        </w:rPr>
        <w:t>锡：高位震荡</w:t>
      </w:r>
      <w:bookmarkEnd w:id="24"/>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随着市场逐步消化佤邦锡矿可能复产的消息，锡价高位回调后刺激一部分下游补库需求，锡价有所企稳，基本面变化暂时不大，库存小幅累增。当然如果缅甸锡矿复产节奏超出市场预期，锡价下方可能还有空间，考虑到缅甸官方执行力效率并不高，预计复产消息的落地以及正式生产仍需时间。短期锡价偏震荡为主，参考25-26.5万。</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30129"/>
      <w:r>
        <w:rPr>
          <w:rFonts w:hint="eastAsia" w:ascii="楷体" w:hAnsi="楷体" w:eastAsia="楷体"/>
          <w:b/>
          <w:color w:val="000000" w:themeColor="text1"/>
          <w:sz w:val="24"/>
          <w:szCs w:val="24"/>
          <w14:textFill>
            <w14:solidFill>
              <w14:schemeClr w14:val="tx1"/>
            </w14:solidFill>
          </w14:textFill>
        </w:rPr>
        <w:t>铅：供需走弱与成本支撑交织，铅价或震荡运行</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原料方面，废电瓶拿货偏难，回收商出货意愿一般，目前废电瓶成本支撑仍较强。原生铅方面，本月炼企普遍恢复生产，河南污染天气目前对原生铅生产影响暂有限。再生铅方面，由于原料废电瓶价格下调，再生铅冶炼利润有所修复，但中央环保督察组已入驻安徽加上河北河南地区污染天气，近期再生铅供应或边际减少。需求方面，下游补库以刚需为主，终端消费已逐渐步入传统淡季，铅蓄电池长成品库存由降转增。综合而言，供应端，原生铅炼企多恢复生产，而再生铅在安徽环保督察和重污染天气的影响下供应或边际减少；需求端，下游按需补库，终端消费渐入淡季，供需走弱对铅价施压，不过废电瓶成本支撑尚存，铅价或震荡为主，主要运行区间参考16000-17300元/吨，关注环保检查影响及宏观变化。</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12423"/>
      <w:r>
        <w:rPr>
          <w:rFonts w:hint="eastAsia" w:ascii="楷体" w:hAnsi="楷体" w:eastAsia="楷体"/>
          <w:b/>
          <w:color w:val="000000" w:themeColor="text1"/>
          <w:sz w:val="24"/>
          <w:szCs w:val="24"/>
          <w14:textFill>
            <w14:solidFill>
              <w14:schemeClr w14:val="tx1"/>
            </w14:solidFill>
          </w14:textFill>
        </w:rPr>
        <w:t>不锈钢：弱需求与高成本，期价上下两难</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方面，印尼中高品味镍矿内贸升水坚挺，但随着镍矿RKAB配额释放，市场对镍矿端支撑持有回落预期。镍铁方面，继青山招标价格上调至1050元/镍（到厂含税）后，近日市场传言8家镍铁厂大佬碰头以团结挺价，不锈钢成本支撑较强，但鉴于不锈钢需求弱势及矿端支撑回落预期，后市镍铁价格存在下调可能。需求方面，下游成交以刚需采购为主，金十传统旺季已步入尾声，预计短期需求难有明显好转，上周社会库存增加1.13%。综合而言，镍铁价格强势对不锈钢价格形成支撑，但弱需求及社库累积情况下，高成本难以为不锈钢价格带来明显上行驱动，预计不锈钢价格上下两难，运行区间参考13300-14200元/吨。</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22454"/>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利好消息刺激，盘面大幅反弹</w:t>
      </w:r>
      <w:bookmarkEnd w:id="27"/>
    </w:p>
    <w:p>
      <w:pPr>
        <w:ind w:left="630" w:leftChars="300"/>
        <w:rPr>
          <w:rFonts w:ascii="楷体" w:hAnsi="楷体" w:eastAsia="楷体"/>
          <w:sz w:val="24"/>
          <w:szCs w:val="24"/>
        </w:rPr>
      </w:pPr>
      <w:r>
        <w:rPr>
          <w:rFonts w:hint="eastAsia" w:ascii="楷体" w:hAnsi="楷体" w:eastAsia="楷体"/>
          <w:sz w:val="24"/>
          <w:szCs w:val="24"/>
        </w:rPr>
        <w:t>10月25日，Si2412主力合约呈反弹走势，收盘价13155元/吨，较上一收盘价涨跌幅+2.25%。近期，受利好消息刺激，盘面出现明显反弹，一方面，美国商务部考虑部分撤销对中国光伏电池的“双反”政策，另一方面李强总理在宁夏、内蒙古调研，考察光伏项目，引发市场对于后续政府出台支持光伏产业政策的预期，同时即将步入枯水期，基本面存在改善预期，短期盘面或有支撑，但仍要注意仓单压力暂未完全释放，叠加待投产一体化产能项目较多，上方存在套保盘压力。策略上，建议多单可逐步逢高止盈。</w:t>
      </w:r>
    </w:p>
    <w:p>
      <w:pPr>
        <w:ind w:firstLine="420" w:firstLineChars="200"/>
        <w:rPr>
          <w:rFonts w:ascii="Times New Roman" w:hAnsi="Times New Roman" w:eastAsia="楷体"/>
          <w:bCs/>
        </w:rPr>
      </w:pPr>
    </w:p>
    <w:p>
      <w:pPr>
        <w:ind w:left="420" w:leftChars="200"/>
        <w:outlineLvl w:val="1"/>
        <w:rPr>
          <w:rFonts w:ascii="楷体" w:hAnsi="楷体" w:eastAsia="楷体"/>
          <w:b/>
          <w:sz w:val="24"/>
          <w:szCs w:val="24"/>
        </w:rPr>
      </w:pPr>
      <w:bookmarkStart w:id="28" w:name="_Toc2304"/>
      <w:r>
        <w:rPr>
          <w:rFonts w:hint="eastAsia" w:ascii="楷体" w:hAnsi="楷体" w:eastAsia="楷体"/>
          <w:b/>
          <w:color w:val="000000" w:themeColor="text1"/>
          <w:sz w:val="24"/>
          <w:szCs w:val="24"/>
          <w14:textFill>
            <w14:solidFill>
              <w14:schemeClr w14:val="tx1"/>
            </w14:solidFill>
          </w14:textFill>
        </w:rPr>
        <w:t>螺纹钢：政策预期升温，短期或震荡偏强</w:t>
      </w:r>
      <w:bookmarkEnd w:id="28"/>
    </w:p>
    <w:p>
      <w:pPr>
        <w:ind w:left="630" w:leftChars="300"/>
        <w:rPr>
          <w:rFonts w:ascii="楷体" w:hAnsi="楷体" w:eastAsia="楷体"/>
          <w:sz w:val="24"/>
          <w:szCs w:val="24"/>
        </w:rPr>
      </w:pPr>
      <w:r>
        <w:rPr>
          <w:rFonts w:hint="eastAsia" w:ascii="楷体" w:hAnsi="楷体" w:eastAsia="楷体"/>
          <w:sz w:val="24"/>
          <w:szCs w:val="24"/>
        </w:rPr>
        <w:t>从宏观面来看，随着国内重大会议时间确定以及临近美国大选，使得市场再度交易宏观政策逻辑，对后续政策预期升温。从基本面来看，钢材需求即将逐步进入淡季，而供应端依旧继续增加，基本面或将边际走弱。整体来看，市场回归宏观政策预期交易逻辑，叠加钢材整体库存依旧较低，预计短期将震荡偏强运行。</w:t>
      </w: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9" w:name="化工"/>
      <w:r>
        <w:rPr>
          <w:rFonts w:hint="eastAsia" w:ascii="Times New Roman" w:hAnsi="Times New Roman" w:eastAsia="楷体"/>
          <w:b/>
          <w:color w:val="823C0B"/>
          <w:sz w:val="30"/>
          <w:szCs w:val="30"/>
        </w:rPr>
        <w:t xml:space="preserve"> </w:t>
      </w:r>
      <w:bookmarkStart w:id="30" w:name="_Toc14028"/>
      <w:r>
        <w:rPr>
          <w:rFonts w:hint="eastAsia" w:ascii="Times New Roman" w:hAnsi="Times New Roman" w:eastAsia="楷体"/>
          <w:b/>
          <w:color w:val="823C0B"/>
          <w:sz w:val="30"/>
          <w:szCs w:val="30"/>
        </w:rPr>
        <w:t>[化工]</w:t>
      </w:r>
      <w:bookmarkEnd w:id="29"/>
      <w:bookmarkEnd w:id="30"/>
    </w:p>
    <w:p>
      <w:pPr>
        <w:ind w:firstLine="482" w:firstLineChars="200"/>
        <w:outlineLvl w:val="1"/>
        <w:rPr>
          <w:rFonts w:ascii="楷体" w:hAnsi="楷体" w:eastAsia="楷体"/>
          <w:b/>
          <w:sz w:val="24"/>
          <w:szCs w:val="24"/>
        </w:rPr>
      </w:pPr>
      <w:bookmarkStart w:id="31" w:name="_Toc1504"/>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主产区天气持续转好 浅色胶价格大跌</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成本端，从泰国宋卡地区的最新报价来看，目前各品类胶价假期整体出现较大回落，胶水价格回落尤为明显。伴随后续天气好转，降水减少，原料价格支撑或继续松动。库存方面，本周青岛港口小幅累库。下游需求方面，近期半钢胎开工恢复较好同时成品库存持续降库，或因双十一电商节到来下长途物流运输需求好转；半钢轮胎企业则得益于出口市场的强劲支撑和合理的库存水平而维持开工高景气。整体看，尽管四季度橡胶在基本面供小于求的支撑下以偏多头思路看待，但仍需持续关注东南亚主产区短期降水问题有出现缓和迹象，以及全钢胎阶段性需求较差的问题，短期不排除原料价格回落、制约胶价表现。</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2" w:name="_Toc30449"/>
      <w:r>
        <w:rPr>
          <w:rFonts w:hint="eastAsia" w:ascii="Times New Roman" w:hAnsi="Times New Roman" w:eastAsia="楷体"/>
          <w:b/>
          <w:color w:val="000000" w:themeColor="text1"/>
          <w:sz w:val="24"/>
          <w:szCs w:val="24"/>
          <w14:textFill>
            <w14:solidFill>
              <w14:schemeClr w14:val="tx1"/>
            </w14:solidFill>
          </w14:textFill>
        </w:rPr>
        <w:t>聚烯烃：旺季需求提振有限，聚烯烃随原油波动为主</w:t>
      </w:r>
      <w:bookmarkEnd w:id="32"/>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担心欧洲经济增长放缓可能会减少能源需求，中东冲突的不确定性使交易者在美国总统大选前紧张不安，欧美原油期在波动中继续弱势表现，聚烯烃成本支撑走弱，盘面震荡表现。福建联合、中韩石化等石化厂进入计划检修期，现阶段检修装置较多，PE开工率降低至偏低水平，PP开工率下降，其中PDH制PP开工率仍处于中下水平。预计未来开工率将回升。PE进口窗口打开，内外盘供应均有增量预期。下游需求旺季，终端刚需较好，但下游工厂延续刚需采购，上游生产企业去库较慢。短期预计聚烯烃区间整理。</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3" w:name="_Toc4547"/>
      <w:r>
        <w:rPr>
          <w:rFonts w:hint="eastAsia" w:ascii="Times New Roman" w:hAnsi="Times New Roman" w:eastAsia="楷体"/>
          <w:b/>
          <w:color w:val="000000" w:themeColor="text1"/>
          <w:sz w:val="24"/>
          <w:szCs w:val="24"/>
          <w14:textFill>
            <w14:solidFill>
              <w14:schemeClr w14:val="tx1"/>
            </w14:solidFill>
          </w14:textFill>
        </w:rPr>
        <w:t>原油：飓风Francine助力，原油期货强势反弹</w:t>
      </w:r>
      <w:bookmarkEnd w:id="33"/>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WTI原油主力合约强劲反弹大涨2.67%，收报69.18美元/桶；布伦特原油主力合约大涨2.02%，报72.15美元/桶；中国原油期货SC主力合约夜盘大涨2.31%，报514.5元/桶。</w:t>
      </w:r>
    </w:p>
    <w:p>
      <w:pPr>
        <w:ind w:left="630" w:leftChars="300"/>
        <w:rPr>
          <w:rFonts w:hint="eastAsia" w:ascii="楷体" w:hAnsi="楷体" w:eastAsia="楷体"/>
          <w:sz w:val="24"/>
          <w:szCs w:val="24"/>
        </w:rPr>
      </w:pPr>
      <w:r>
        <w:rPr>
          <w:rFonts w:hint="eastAsia" w:ascii="楷体" w:hAnsi="楷体" w:eastAsia="楷体"/>
          <w:sz w:val="24"/>
          <w:szCs w:val="24"/>
        </w:rPr>
        <w:t>受飓风Francine影响，美国作为全球最大的原油消费国面临供应中断的风险，这促使原油期货价格出现强劲反弹。随着飓风登陆并向内陆推进，墨西哥湾地区首当其冲，美国国家飓风中心已发布预警，路易斯安那州和密西西比州也进入了紧急状态。根据美国安全与环境执法局的报告，飓风导致墨西哥湾大约42%的原油生产设施和53%的天然气设施暂停运作。</w:t>
      </w:r>
    </w:p>
    <w:p>
      <w:pPr>
        <w:ind w:left="630" w:leftChars="300"/>
        <w:rPr>
          <w:rFonts w:hint="eastAsia" w:ascii="楷体" w:hAnsi="楷体" w:eastAsia="楷体"/>
          <w:sz w:val="24"/>
          <w:szCs w:val="24"/>
        </w:rPr>
      </w:pPr>
      <w:r>
        <w:rPr>
          <w:rFonts w:hint="eastAsia" w:ascii="楷体" w:hAnsi="楷体" w:eastAsia="楷体"/>
          <w:sz w:val="24"/>
          <w:szCs w:val="24"/>
        </w:rPr>
        <w:t>然而，国际能源署（IEA）最新发布的月度报告揭示了一个不同的图景。报告指出，全球石油需求增长正在显著放缓，导致油价触及三年来的低点。2024年上半年全球石油消费量预计仅增加90.3万桶/日，远低于2023年同期的增长速度。此外，IEA还下调了2024年的全球石油需求增长预期，预计若欧佩克+继续按计划逐步恢复产量，2025年或将出现供应过剩的情况。</w:t>
      </w:r>
    </w:p>
    <w:p>
      <w:pPr>
        <w:ind w:left="630" w:leftChars="300"/>
        <w:rPr>
          <w:rFonts w:hint="eastAsia" w:ascii="楷体" w:hAnsi="楷体" w:eastAsia="楷体"/>
          <w:sz w:val="24"/>
          <w:szCs w:val="24"/>
        </w:rPr>
      </w:pPr>
      <w:r>
        <w:rPr>
          <w:rFonts w:hint="eastAsia" w:ascii="楷体" w:hAnsi="楷体" w:eastAsia="楷体"/>
          <w:sz w:val="24"/>
          <w:szCs w:val="24"/>
        </w:rPr>
        <w:t>技术面显示，原油价格经历了快速下跌后，市场出现了一定程度的超卖，因此引发了此次反弹。尽管此次反弹较为强劲，已经收复了本周的部分跌幅，但从中期角度来看，下跌趋势仍未改变。未来几日，市场参与者需持续关注飓风对供应的实际影响，以及IEA报告中提到的需求放缓是否会在短期内给油价带来进一步压力。WTI原油主力合约虽有所反弹但短期仍看淡，2023年低点63.64美元/桶为短期的强支撑；布伦特原油主力合约，68.20美元/桶为2023年低点为短期重要支撑；国内原油期货主力合约SC2410价格，2023年低点480.6元/吨为重要支撑。</w:t>
      </w:r>
    </w:p>
    <w:p>
      <w:pPr>
        <w:ind w:left="630" w:leftChars="300"/>
        <w:rPr>
          <w:rFonts w:hint="eastAsia" w:ascii="楷体" w:hAnsi="楷体" w:eastAsia="楷体"/>
          <w:sz w:val="24"/>
          <w:szCs w:val="24"/>
          <w:lang w:val="en-US" w:eastAsia="zh-CN"/>
        </w:rPr>
      </w:pPr>
    </w:p>
    <w:p>
      <w:pPr>
        <w:ind w:firstLine="482" w:firstLineChars="200"/>
        <w:outlineLvl w:val="1"/>
        <w:rPr>
          <w:rFonts w:ascii="楷体" w:hAnsi="楷体" w:eastAsia="楷体"/>
          <w:b/>
          <w:sz w:val="24"/>
          <w:szCs w:val="24"/>
        </w:rPr>
      </w:pPr>
      <w:bookmarkStart w:id="34" w:name="_Toc7271"/>
      <w:r>
        <w:rPr>
          <w:rFonts w:hint="eastAsia" w:ascii="Times New Roman" w:hAnsi="Times New Roman" w:eastAsia="楷体"/>
          <w:b/>
          <w:color w:val="000000" w:themeColor="text1"/>
          <w:sz w:val="24"/>
          <w:szCs w:val="24"/>
          <w14:textFill>
            <w14:solidFill>
              <w14:schemeClr w14:val="tx1"/>
            </w14:solidFill>
          </w14:textFill>
        </w:rPr>
        <w:t>燃料油及低硫燃料油：燃料油期货夜盘上扬，弱势格局待破局</w:t>
      </w:r>
      <w:bookmarkEnd w:id="34"/>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燃料油主力合约夜盘上涨1.89%，报2797元/吨；低硫燃料油主力合约夜盘上涨1.04%，报3899元/吨；价差为1102元/吨。</w:t>
      </w:r>
    </w:p>
    <w:p>
      <w:pPr>
        <w:ind w:left="630" w:leftChars="300"/>
        <w:rPr>
          <w:rFonts w:hint="eastAsia" w:ascii="楷体" w:hAnsi="楷体" w:eastAsia="楷体"/>
          <w:sz w:val="24"/>
          <w:szCs w:val="24"/>
        </w:rPr>
      </w:pPr>
      <w:r>
        <w:rPr>
          <w:rFonts w:hint="eastAsia" w:ascii="楷体" w:hAnsi="楷体" w:eastAsia="楷体"/>
          <w:sz w:val="24"/>
          <w:szCs w:val="24"/>
        </w:rPr>
        <w:t>近期，汽柴产销表现不佳，燃料油市场缺乏明确的利好消息，导致业者操作心态趋于观望，下游采购保持谨慎，刚需为主，炼厂出货因此受阻。预计今日市场交投将继续以弱盘整理为主。</w:t>
      </w:r>
    </w:p>
    <w:p>
      <w:pPr>
        <w:ind w:left="630" w:leftChars="300"/>
        <w:rPr>
          <w:rFonts w:hint="eastAsia" w:ascii="楷体" w:hAnsi="楷体" w:eastAsia="楷体"/>
          <w:sz w:val="24"/>
          <w:szCs w:val="24"/>
        </w:rPr>
      </w:pPr>
      <w:r>
        <w:rPr>
          <w:rFonts w:hint="eastAsia" w:ascii="楷体" w:hAnsi="楷体" w:eastAsia="楷体"/>
          <w:sz w:val="24"/>
          <w:szCs w:val="24"/>
        </w:rPr>
        <w:t>从产能利用情况来看，本周主营炼厂常减压产能利用率为77.48%，环比微降，同比跌幅达5.64%，显示出加工量仍未恢复至去年同期水平。</w:t>
      </w:r>
    </w:p>
    <w:p>
      <w:pPr>
        <w:ind w:left="630" w:leftChars="300"/>
        <w:rPr>
          <w:rFonts w:hint="eastAsia" w:ascii="楷体" w:hAnsi="楷体" w:eastAsia="楷体"/>
          <w:sz w:val="24"/>
          <w:szCs w:val="24"/>
        </w:rPr>
      </w:pPr>
      <w:r>
        <w:rPr>
          <w:rFonts w:hint="eastAsia" w:ascii="楷体" w:hAnsi="楷体" w:eastAsia="楷体"/>
          <w:sz w:val="24"/>
          <w:szCs w:val="24"/>
        </w:rPr>
        <w:t>亚洲燃料油现货市场方面，尽管低硫燃料油供应预期增加，但高硫燃料油库存充裕，对价格上行构成压力。新加坡现货市场上，高硫燃料油交易冷清，而超低硫燃料油则有一笔成交。此外，新加坡各类燃料油库存均出现下降，但整体仍处于相对高位。</w:t>
      </w:r>
    </w:p>
    <w:p>
      <w:pPr>
        <w:ind w:left="630" w:leftChars="300"/>
        <w:rPr>
          <w:rFonts w:hint="eastAsia" w:ascii="楷体" w:hAnsi="楷体" w:eastAsia="楷体"/>
          <w:sz w:val="24"/>
          <w:szCs w:val="24"/>
        </w:rPr>
      </w:pPr>
      <w:r>
        <w:rPr>
          <w:rFonts w:hint="eastAsia" w:ascii="楷体" w:hAnsi="楷体" w:eastAsia="楷体"/>
          <w:sz w:val="24"/>
          <w:szCs w:val="24"/>
        </w:rPr>
        <w:t>燃料油期货价格整体上跟随了原油价格的反弹趋势，但由于原油价格仍处于中期下跌趋势之中，燃料油期货价格预计难以摆脱弱势格局。市场参与者需密切关注原油价格动向及其对燃料油市场的影响。</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5" w:name="_Toc15264"/>
      <w:r>
        <w:rPr>
          <w:rFonts w:hint="eastAsia" w:ascii="Times New Roman" w:hAnsi="Times New Roman" w:eastAsia="楷体"/>
          <w:b/>
          <w:color w:val="000000" w:themeColor="text1"/>
          <w:sz w:val="24"/>
          <w:szCs w:val="24"/>
          <w14:textFill>
            <w14:solidFill>
              <w14:schemeClr w14:val="tx1"/>
            </w14:solidFill>
          </w14:textFill>
        </w:rPr>
        <w:t>沥青：沥青期货价格上扬，弱稳格局待突破</w:t>
      </w:r>
      <w:bookmarkEnd w:id="35"/>
      <w:r>
        <w:rPr>
          <w:rFonts w:hint="eastAsia" w:ascii="Times New Roman" w:hAnsi="Times New Roman" w:eastAsia="楷体"/>
          <w:b/>
          <w:color w:val="000000" w:themeColor="text1"/>
          <w:sz w:val="24"/>
          <w:szCs w:val="24"/>
          <w14:textFill>
            <w14:solidFill>
              <w14:schemeClr w14:val="tx1"/>
            </w14:solidFill>
          </w14:textFill>
        </w:rPr>
        <w:t xml:space="preserve"> </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沥青期货主力合约BU2410上涨1.87%，收3111元/吨。</w:t>
      </w:r>
    </w:p>
    <w:p>
      <w:pPr>
        <w:ind w:left="630" w:leftChars="300"/>
        <w:rPr>
          <w:rFonts w:hint="eastAsia" w:ascii="楷体" w:hAnsi="楷体" w:eastAsia="楷体"/>
          <w:sz w:val="24"/>
          <w:szCs w:val="24"/>
        </w:rPr>
      </w:pPr>
      <w:r>
        <w:rPr>
          <w:rFonts w:hint="eastAsia" w:ascii="楷体" w:hAnsi="楷体" w:eastAsia="楷体"/>
          <w:sz w:val="24"/>
          <w:szCs w:val="24"/>
        </w:rPr>
        <w:t>当前，国内沥青市场呈现出弱稳运行的态势，均价为3634元/吨，较前一日微降2元/吨。本周，沥青产量出现显著下滑，周度总产量环比下降6.8%，同比降幅更是高达46.2%。这一趋势在1-9月份的累计产量中也得到了体现，同比减少近20.6%。</w:t>
      </w:r>
    </w:p>
    <w:p>
      <w:pPr>
        <w:ind w:left="630" w:leftChars="300"/>
        <w:rPr>
          <w:rFonts w:hint="eastAsia" w:ascii="楷体" w:hAnsi="楷体" w:eastAsia="楷体"/>
          <w:sz w:val="24"/>
          <w:szCs w:val="24"/>
        </w:rPr>
      </w:pPr>
      <w:r>
        <w:rPr>
          <w:rFonts w:hint="eastAsia" w:ascii="楷体" w:hAnsi="楷体" w:eastAsia="楷体"/>
          <w:sz w:val="24"/>
          <w:szCs w:val="24"/>
        </w:rPr>
        <w:t>库存方面，截至9月12日，国内沥青社会库存和厂库库存均呈现去库态势。社会库存较周一减少2.9%，其中华东地区去库明显，主要得益于业者优先消耗社会库存以及出口船发的良好表现。厂库库存则减少3.0%，山东地区去库尤为突出，这主要归因于个别主力炼厂的检修导致供应低位，以及出货以厂库库存为主。</w:t>
      </w:r>
    </w:p>
    <w:p>
      <w:pPr>
        <w:ind w:left="630" w:leftChars="300"/>
        <w:rPr>
          <w:rFonts w:hint="eastAsia" w:ascii="楷体" w:hAnsi="楷体" w:eastAsia="楷体"/>
          <w:sz w:val="24"/>
          <w:szCs w:val="24"/>
        </w:rPr>
      </w:pPr>
      <w:r>
        <w:rPr>
          <w:rFonts w:hint="eastAsia" w:ascii="楷体" w:hAnsi="楷体" w:eastAsia="楷体"/>
          <w:sz w:val="24"/>
          <w:szCs w:val="24"/>
        </w:rPr>
        <w:t>在供需差方面，本周沥青供需差环比大幅增加43.3%，但整体仍处于负值状态。成本端坍塌加剧了业者的看跌情绪，贸易商因此提升了主动去库的意愿，导致价格承压下行。</w:t>
      </w:r>
    </w:p>
    <w:p>
      <w:pPr>
        <w:ind w:left="630" w:leftChars="300"/>
        <w:rPr>
          <w:rFonts w:hint="eastAsia" w:ascii="楷体" w:hAnsi="楷体" w:eastAsia="楷体"/>
          <w:sz w:val="24"/>
          <w:szCs w:val="24"/>
        </w:rPr>
      </w:pPr>
      <w:r>
        <w:rPr>
          <w:rFonts w:hint="eastAsia" w:ascii="楷体" w:hAnsi="楷体" w:eastAsia="楷体"/>
          <w:sz w:val="24"/>
          <w:szCs w:val="24"/>
        </w:rPr>
        <w:t>综上所述，沥青期货市场在当前弱稳运行的态势下，受到产量下滑、库存去库以及供需差和成本端等多重因素的影响。未来，投资者需密切关注这些因素的变化，以制定合理的投资策略。</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6" w:name="_Toc28474"/>
      <w:r>
        <w:rPr>
          <w:rFonts w:hint="eastAsia" w:ascii="Times New Roman" w:hAnsi="Times New Roman" w:eastAsia="楷体"/>
          <w:b/>
          <w:color w:val="000000" w:themeColor="text1"/>
          <w:sz w:val="24"/>
          <w:szCs w:val="24"/>
          <w14:textFill>
            <w14:solidFill>
              <w14:schemeClr w14:val="tx1"/>
            </w14:solidFill>
          </w14:textFill>
        </w:rPr>
        <w:t>PTA：跟随宏观及成本端波动</w:t>
      </w:r>
      <w:bookmarkEnd w:id="36"/>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原油方面，以色列反击落地，中东局势影响整体可控，外盘油价开盘暴跌。OPEC连续第三个月下调全球原油需求增速预测，中线市场交易逻辑回归原油市场供需过剩预期，后市有进一步转弱风险。PTA个别装置负荷小幅调整，至10.24 PTA负荷在80.5%。长丝短纤局部负荷提升及瓶片新增产能，综合来看聚酯负荷继续回升。截至10.24，初步核算国内大陆地区聚酯负荷在92 %附近，随着天气转冷下游开工小幅提升，10月PTA累库格局放缓供需格局改善。综合来看，目前供减需增，短期内受地缘局势发展及宏观商品氛围影响，跟随成本端波动。</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7" w:name="_Toc29839"/>
      <w:r>
        <w:rPr>
          <w:rFonts w:hint="eastAsia" w:ascii="Times New Roman" w:hAnsi="Times New Roman" w:eastAsia="楷体"/>
          <w:b/>
          <w:color w:val="000000" w:themeColor="text1"/>
          <w:sz w:val="24"/>
          <w:szCs w:val="24"/>
          <w14:textFill>
            <w14:solidFill>
              <w14:schemeClr w14:val="tx1"/>
            </w14:solidFill>
          </w14:textFill>
        </w:rPr>
        <w:t>乙二醇：成本下行叠加库存累积 震荡偏弱</w:t>
      </w:r>
      <w:bookmarkEnd w:id="37"/>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sz w:val="24"/>
          <w:szCs w:val="24"/>
        </w:rPr>
        <w:t>供需情况，据CCF 10.21 华东主港地区MEG港口库存约63.7万吨附近，环比上周增加9.0万吨。截至10月24日，中国大陆地区乙二醇整体开工负荷在67.29%（-1.35%），其中草酸催化加氢法（合成气）制乙二醇开工负荷在63.85%（-0.39%）。下游聚酯开工情况来看，聚酯端负荷整体保持良好，截至10.24，初步核算国内大陆地区聚酯负荷在92%附近，尤其是长丝负荷持续较高。聚酯端库存来看，长丝促销效果显著，整体库存节前维持去化。终端开工情况来看，截止10.24江浙下游加弹、织造、印染负荷分别在93%、82%、86%，整体开工高位维持，织造端坯布整体新订单和出货量较节前多有提振。综合来看，乙二醇后续到港压力增加港口库存将维持偏高水平，11供需结构偏累库，短期震荡偏弱。</w:t>
      </w: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8" w:name="_Toc18519"/>
      <w:r>
        <w:rPr>
          <w:rFonts w:hint="eastAsia" w:ascii="Times New Roman" w:hAnsi="Times New Roman" w:eastAsia="楷体"/>
          <w:b/>
          <w:color w:val="823C0B"/>
          <w:sz w:val="30"/>
          <w:szCs w:val="30"/>
        </w:rPr>
        <w:t>[农产品]</w:t>
      </w:r>
      <w:bookmarkEnd w:id="14"/>
      <w:bookmarkEnd w:id="38"/>
    </w:p>
    <w:p>
      <w:pPr>
        <w:pStyle w:val="93"/>
        <w:spacing w:before="60" w:beforeAutospacing="0" w:after="60" w:afterAutospacing="0"/>
        <w:ind w:left="420" w:leftChars="200"/>
        <w:outlineLvl w:val="1"/>
        <w:rPr>
          <w:rFonts w:hint="eastAsia" w:ascii="楷体" w:hAnsi="楷体" w:eastAsia="楷体"/>
          <w:b/>
        </w:rPr>
      </w:pPr>
      <w:bookmarkStart w:id="39" w:name="_Toc5404"/>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周末现货继续分化</w:t>
      </w:r>
      <w:bookmarkEnd w:id="39"/>
    </w:p>
    <w:p>
      <w:pPr>
        <w:pStyle w:val="93"/>
        <w:spacing w:before="60" w:beforeAutospacing="0" w:after="60" w:afterAutospacing="0"/>
        <w:ind w:left="630" w:leftChars="300"/>
        <w:rPr>
          <w:rFonts w:hint="eastAsia" w:ascii="楷体" w:hAnsi="楷体" w:eastAsia="楷体"/>
        </w:rPr>
      </w:pPr>
      <w:r>
        <w:rPr>
          <w:rFonts w:hint="eastAsia" w:ascii="楷体" w:hAnsi="楷体" w:eastAsia="楷体"/>
        </w:rPr>
        <w:t>玉米现货周末整体延续分化，华北产区转跌，东北产区局部地区止跌反弹，玉米期价周五夜盘震荡偏弱。对于玉米而言，期价远月升水结构反映市场对当前年度相对乐观的供需预期，随着华北产区持续反弹，而东北产区止跌反弹，或表明新作压力最大对应现货价格低点已经出现，接下来市场预期或逐步转向乐观，在诸如国家增储、小麦上涨及其南方港口内外贸玉米库存偏低等潜在利多因素的带动下，期现货价格有望逐步震荡上行。在这种情况下，我们维持谨慎看多观点，建议投资者持有前期多单。</w:t>
      </w:r>
    </w:p>
    <w:p>
      <w:pPr>
        <w:pStyle w:val="93"/>
        <w:spacing w:before="60" w:beforeAutospacing="0" w:after="60" w:afterAutospacing="0"/>
        <w:ind w:left="630" w:leftChars="300"/>
        <w:rPr>
          <w:rFonts w:hint="eastAsia" w:ascii="楷体" w:hAnsi="楷体" w:eastAsia="楷体"/>
          <w:lang w:val="en-US" w:eastAsia="zh-CN"/>
        </w:rPr>
      </w:pPr>
      <w:r>
        <w:rPr>
          <w:rFonts w:hint="eastAsia" w:ascii="楷体" w:hAnsi="楷体" w:eastAsia="楷体"/>
        </w:rPr>
        <w:t>对于淀粉而言，近期淀粉-玉米价差走扩，主要源于三个方面因素均偏利多，其中副产品维持低位，行业供需因表观需求量即出库量带动行业库存大幅下降，原料端则转向偏多，因国庆长假一来华北玉米反弹，而东北玉米持续弱势，华北-东北玉米价差持续走扩。接下来需要重点关注原料成本端，即华北产区深加工企业收购价回落空间，但考虑到基差和盘面加工利润，我们依然倾向于淀粉-玉米价差有望继续走扩。在这种情况下，结合原料玉米判断，我们维持谨慎看多观点，建议单边投资者持有多单，套利投资者继续持有淀粉-玉米价差走扩套利。</w:t>
      </w:r>
    </w:p>
    <w:p>
      <w:pPr>
        <w:pStyle w:val="93"/>
        <w:spacing w:before="60" w:beforeAutospacing="0" w:after="60" w:afterAutospacing="0"/>
        <w:ind w:left="630" w:leftChars="300"/>
        <w:rPr>
          <w:rFonts w:hint="eastAsia" w:ascii="楷体" w:hAnsi="楷体" w:eastAsia="楷体"/>
          <w:lang w:val="en-US" w:eastAsia="zh-CN"/>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0" w:name="_Toc15396"/>
      <w:r>
        <w:rPr>
          <w:rFonts w:hint="eastAsia" w:ascii="楷体" w:hAnsi="楷体" w:eastAsia="楷体"/>
          <w:b/>
          <w:bCs/>
          <w:color w:val="000000" w:themeColor="text1"/>
          <w14:textFill>
            <w14:solidFill>
              <w14:schemeClr w14:val="tx1"/>
            </w14:solidFill>
          </w14:textFill>
        </w:rPr>
        <w:t>畜禽养殖：周末现货稳中偏弱</w:t>
      </w:r>
      <w:bookmarkEnd w:id="40"/>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国内生猪现货周末偏弱。对于生猪而言，从期价远期贴水结构可以看出，市场对生猪市场远期供需改善预期较为一致，这可以从若干方面得到印证，包括能繁母猪存栏见底回升，猪料产量环比增加，仔猪价格见顶回落等。随着期价的持续回落，市场分歧转向当前期价是否已经反映现货下跌预期，因目前最低的3月合约已经跌至过去两年春节前后低点14元/公斤的水平。从供应角度看，农业农村部公布的季度末生猪存栏量虽连续环比增加，但仍处于过去四年来最低水平，而今年3季度出栏仅次于去年，这意味着4季度供应环比增幅受限，这会抑制猪价下跌空间。而需求则存在较大的不确定性，受宏观经济影响，市场反映今年需求不及往年同期，这会抑制猪价上方空间。考虑到气温的下降，再加上季节性因素，生猪需求或有所改善。在这种情况下，我们持谨慎看多观点。</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鸡蛋现货周末同样稳中偏弱，湖北浠水下跌4元/标准箱。对于鸡蛋而言，分析市场可以看出，当前市场纠结之处在于，一方面市场对远期供需宽松预期使得市场担心后期现货下跌，而这已经体现在远月期价深度贴水上，另一方面现货相对抗跌，且基差处于历史高位，这对期价特别是近月带来一定的支撑。考虑到现货已进入季节性淡季，市场关注焦点将转向远月，这里面需要重点关注两个方面，其一是原料成本的变数，虽然当前饲料原料包括豆粕和玉米价格均处于相对低位，对应的养殖利润高企，但在新作压力之后其走势存在较大的不确定性。其二是供需预期的变数，因市场多倾向于认为今年年后以来现货整体表现强于预期，主要源于需求端的影响，而我们则倾向于认为更多源于供应端的因素，这可能源于春节前后补栏积极性下降而淘汰积极性上升，因当时蛋鸡苗价格处于历史低位，而多家机构数据均显示去年底以来蛋鸡淘汰量同比大幅增加。在这种情况下，我们维持谨慎看多观点，建议谨慎投资者观望，激进投资者可考虑持有近月合约多单。</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1" w:name="_Toc11767"/>
      <w:r>
        <w:rPr>
          <w:rFonts w:hint="eastAsia" w:ascii="楷体" w:hAnsi="楷体" w:eastAsia="楷体"/>
          <w:b/>
          <w:bCs/>
          <w:color w:val="000000" w:themeColor="text1"/>
          <w14:textFill>
            <w14:solidFill>
              <w14:schemeClr w14:val="tx1"/>
            </w14:solidFill>
          </w14:textFill>
        </w:rPr>
        <w:t>白糖：国际糖价震荡偏弱，郑糖震荡整理</w:t>
      </w:r>
      <w:bookmarkEnd w:id="41"/>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周外盘，ICE原糖11号主力合约下跌0.18%，伦敦白砂糖主力合约下跌0.36%。周五夜盘郑糖2501主力合约上涨0.20%。由于2023年10月至2024年9月期间巴西中南地区面临严重缺水，影响了当前榨季的甘蔗生长。根据巴西甘蔗技术中心(CTC)公布的最新数据，九月份的甘蔗单产仅为69.7吨/公顷，而上榨季同期为83.4吨/公顷。本榨季截至2024年9月中南部地区的甘蔗单产为83.2吨/公顷，高于过去十年的均值79.7吨/公顷。国内，旧作库存十分紧张，贸易商挺价。新季白糖尽管因台风天气产量下修，但整体仍是丰产预期，限制白糖反弹高度。预计短期高位区间震荡。</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2" w:name="_Toc14059"/>
      <w:r>
        <w:rPr>
          <w:rFonts w:hint="eastAsia" w:ascii="楷体" w:hAnsi="楷体" w:eastAsia="楷体"/>
          <w:b/>
          <w:bCs/>
          <w:color w:val="000000" w:themeColor="text1"/>
          <w14:textFill>
            <w14:solidFill>
              <w14:schemeClr w14:val="tx1"/>
            </w14:solidFill>
          </w14:textFill>
        </w:rPr>
        <w:t>棉花：预计郑棉区间震荡</w:t>
      </w:r>
      <w:bookmarkEnd w:id="42"/>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周外盘，ICE美棉主力下跌1.27%。周五夜盘郑棉2501主力合约上涨0.14%。截至10月17日一周，美国本年度陆地棉净签约3.8万吨，装运2.2万吨。其中至中国签约6237吨，装运862吨。尽管出口数据回暖，但仍不敌商品整体弱势对美棉造成的影响。国内，9月进口减少，但本年度棉花丰产，产量预计同比增加5%-7%，供应依然充沛。籽棉收购价相对稳定，集中在6.1-6.4元/公斤区间。轧花厂依然持谨慎态度，风险偏好低。金九银十临近尾声，纺织开机率略有下降，但整体依然处于近几年偏高水平。供需双强，棉花区间震荡。</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3" w:name="_Toc1843"/>
      <w:r>
        <w:rPr>
          <w:rFonts w:hint="eastAsia" w:ascii="楷体" w:hAnsi="楷体" w:eastAsia="楷体"/>
          <w:b/>
          <w:bCs/>
          <w:color w:val="000000" w:themeColor="text1"/>
          <w14:textFill>
            <w14:solidFill>
              <w14:schemeClr w14:val="tx1"/>
            </w14:solidFill>
          </w14:textFill>
        </w:rPr>
        <w:t>蛋白粕：基本面偏空不改，期价偏弱运行</w:t>
      </w:r>
      <w:bookmarkEnd w:id="43"/>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最新交易日美豆下跌0.72%后再次低于1000美分/磅。国内夜盘豆二下跌0.95%，豆粕下跌0.97%；菜籽下跌0.58%，菜粕下跌0.83%。据外电10月25日消息，巴西农户已完成2024/25年度大豆预估种植面积中的35.9%，与去年种植进度的差距大幅缩小。菜籽9月进口同比增151.17%，创历史最高纪录，供应充足。两粕自身基本面来看，豆粕库存消耗，但上游油料供应非常充足；菜粕需求疲弱。长期来看，粕类依旧偏弱运行。</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4" w:name="_Toc416"/>
      <w:r>
        <w:rPr>
          <w:rFonts w:hint="eastAsia" w:ascii="楷体" w:hAnsi="楷体" w:eastAsia="楷体"/>
          <w:b/>
          <w:bCs/>
          <w:color w:val="000000" w:themeColor="text1"/>
          <w14:textFill>
            <w14:solidFill>
              <w14:schemeClr w14:val="tx1"/>
            </w14:solidFill>
          </w14:textFill>
        </w:rPr>
        <w:t>油脂类：多头暂获利离场，等待回调后逢低布多</w:t>
      </w:r>
      <w:bookmarkEnd w:id="4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最新夜盘豆油收盘价无变动，菜油上涨0.09%，棕榈油下跌0.49%。BMI预计，利多棕榈油的因素中期较强，但到年底会逐渐消散。这是因为拉尼娜现象对马来西亚和印度尼西亚棕榈产业存在的潜在积极影响，而2024年第四季度北半球冬季和印度进口关税导致的需求放缓。但棕油主产国相关政策使其产量有长期偏紧预期，期价有支撑，近期多头获利离场，等待回调后低位布局多单。国内豆油、菜油库存较高，加上我国近期采购俄罗斯、阿联酋菜油增多，预计四季度菜油库存高位维稳。近期大豆到港增加，油厂开机率无大幅下调，供应同样充足。但四季度是豆菜油季节性消费旺季，暂以震荡对待。</w:t>
      </w:r>
    </w:p>
    <w:p>
      <w:pPr>
        <w:pStyle w:val="93"/>
        <w:spacing w:before="0" w:beforeAutospacing="0" w:after="60" w:afterAutospacing="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45" w:name="_Toc2680"/>
      <w:r>
        <w:rPr>
          <w:rFonts w:hint="eastAsia" w:ascii="Times New Roman" w:hAnsi="Times New Roman" w:eastAsia="楷体"/>
          <w:b/>
          <w:color w:val="823C0B"/>
          <w:sz w:val="30"/>
          <w:szCs w:val="30"/>
        </w:rPr>
        <w:t>[指数]</w:t>
      </w:r>
      <w:bookmarkEnd w:id="45"/>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6" w:name="_Toc6596"/>
      <w:r>
        <w:rPr>
          <w:rFonts w:hint="eastAsia" w:ascii="Times New Roman" w:hAnsi="Times New Roman" w:eastAsia="楷体"/>
          <w:b/>
          <w:color w:val="000000" w:themeColor="text1"/>
          <w:sz w:val="24"/>
          <w:szCs w:val="24"/>
          <w14:textFill>
            <w14:solidFill>
              <w14:schemeClr w14:val="tx1"/>
            </w14:solidFill>
          </w14:textFill>
        </w:rPr>
        <w:t>集运指数（欧线）：11月现舱报价上行，主力合约上涨</w:t>
      </w:r>
      <w:bookmarkEnd w:id="46"/>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12合约涨1.59%至3200.9，上周累计上涨14.79%。10月21日，SCFIS欧线指数为2204.58点，相较上期跌7.80%。武汉航运中心出口集装箱运输运价指数(WSCFI)跌4.79%至3393.14点。据船视宝数据，本周集装箱活跃运力总计5648艘，共28478066TEU，艘数环比增加1.2%，TEU环比增加1.22%；停航运力总计373艘，共1116498TEU，艘数环比减少14.84%，TEU环比减少23.31%。因11月初船司报价基本持平此前宣涨情况，现舱报价带动近期期价上行，近期地缘冲突加剧等消息面因素也相对利好期价走势，后续关注进入11月后涨价落地情况，多空博弈期间留意短期波动加剧风险，建议投资者谨慎操作。</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7" w:name="_Toc98426751"/>
      <w:bookmarkStart w:id="48" w:name="_Toc12779"/>
      <w:bookmarkStart w:id="49" w:name="_Toc19667"/>
      <w:bookmarkStart w:id="50" w:name="_Toc71212556"/>
      <w:bookmarkStart w:id="51" w:name="_Toc72481108"/>
      <w:r>
        <w:rPr>
          <w:rFonts w:ascii="Times New Roman" w:hAnsi="Times New Roman" w:eastAsia="楷体"/>
          <w:b/>
          <w:color w:val="411D05"/>
          <w:sz w:val="30"/>
          <w:szCs w:val="30"/>
        </w:rPr>
        <w:t>免责声明</w:t>
      </w:r>
      <w:bookmarkEnd w:id="47"/>
      <w:bookmarkEnd w:id="48"/>
      <w:bookmarkEnd w:id="49"/>
      <w:bookmarkEnd w:id="50"/>
      <w:bookmarkEnd w:id="51"/>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rPr>
                <w:rFonts w:ascii="Times New Roman" w:hAnsi="Times New Roman" w:eastAsia="楷体" w:cs="Times New Roman"/>
                <w:color w:val="823C0B"/>
                <w:sz w:val="22"/>
              </w:rPr>
            </w:pP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2024年10月28日星期一</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5EB"/>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137E06"/>
    <w:rsid w:val="01375C3E"/>
    <w:rsid w:val="01954D8D"/>
    <w:rsid w:val="02E32A5D"/>
    <w:rsid w:val="035D5749"/>
    <w:rsid w:val="03A507DC"/>
    <w:rsid w:val="04C17862"/>
    <w:rsid w:val="04E41B77"/>
    <w:rsid w:val="057D13AE"/>
    <w:rsid w:val="064116B8"/>
    <w:rsid w:val="064A667C"/>
    <w:rsid w:val="06B2613D"/>
    <w:rsid w:val="06B753E3"/>
    <w:rsid w:val="07321D04"/>
    <w:rsid w:val="08A51999"/>
    <w:rsid w:val="090041E8"/>
    <w:rsid w:val="09B849A4"/>
    <w:rsid w:val="09F160E3"/>
    <w:rsid w:val="0A9E0927"/>
    <w:rsid w:val="0AC64130"/>
    <w:rsid w:val="0B42525D"/>
    <w:rsid w:val="0BF11AD7"/>
    <w:rsid w:val="0C1F7DEE"/>
    <w:rsid w:val="0C88769D"/>
    <w:rsid w:val="0CDE660D"/>
    <w:rsid w:val="0D032A7C"/>
    <w:rsid w:val="0DB77106"/>
    <w:rsid w:val="0DCE2D64"/>
    <w:rsid w:val="0E955A36"/>
    <w:rsid w:val="0F662138"/>
    <w:rsid w:val="0F9B0CE9"/>
    <w:rsid w:val="0FF35275"/>
    <w:rsid w:val="100732C8"/>
    <w:rsid w:val="10DA6205"/>
    <w:rsid w:val="10E86139"/>
    <w:rsid w:val="111441F0"/>
    <w:rsid w:val="113D3FD2"/>
    <w:rsid w:val="121F7D21"/>
    <w:rsid w:val="129B2E20"/>
    <w:rsid w:val="12AA5DF8"/>
    <w:rsid w:val="12C54559"/>
    <w:rsid w:val="12CB3DD7"/>
    <w:rsid w:val="132A04C1"/>
    <w:rsid w:val="1330029C"/>
    <w:rsid w:val="134E6356"/>
    <w:rsid w:val="13AE24B4"/>
    <w:rsid w:val="14D51A3C"/>
    <w:rsid w:val="15364A7C"/>
    <w:rsid w:val="15602ADB"/>
    <w:rsid w:val="15947E4C"/>
    <w:rsid w:val="15D52593"/>
    <w:rsid w:val="1626611D"/>
    <w:rsid w:val="16E2497F"/>
    <w:rsid w:val="17A736B0"/>
    <w:rsid w:val="18A2004D"/>
    <w:rsid w:val="19415809"/>
    <w:rsid w:val="197E6634"/>
    <w:rsid w:val="1B7329E7"/>
    <w:rsid w:val="1B8A2034"/>
    <w:rsid w:val="1BB46C31"/>
    <w:rsid w:val="1BC72FF7"/>
    <w:rsid w:val="1C161355"/>
    <w:rsid w:val="1CFF262F"/>
    <w:rsid w:val="1D03226A"/>
    <w:rsid w:val="1D5030CD"/>
    <w:rsid w:val="1D876087"/>
    <w:rsid w:val="1DFF64E4"/>
    <w:rsid w:val="1E313D4A"/>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3407F6"/>
    <w:rsid w:val="23D146B7"/>
    <w:rsid w:val="240817CF"/>
    <w:rsid w:val="24321B2E"/>
    <w:rsid w:val="244B21DE"/>
    <w:rsid w:val="245C7DFE"/>
    <w:rsid w:val="247F3074"/>
    <w:rsid w:val="24B82D9D"/>
    <w:rsid w:val="251328EC"/>
    <w:rsid w:val="254016F5"/>
    <w:rsid w:val="258A2E5C"/>
    <w:rsid w:val="25B924F3"/>
    <w:rsid w:val="25E06B30"/>
    <w:rsid w:val="268419CF"/>
    <w:rsid w:val="26AC2D80"/>
    <w:rsid w:val="26F95364"/>
    <w:rsid w:val="2916719E"/>
    <w:rsid w:val="293961B5"/>
    <w:rsid w:val="29A303B9"/>
    <w:rsid w:val="2B9C319C"/>
    <w:rsid w:val="2C1D776C"/>
    <w:rsid w:val="2C453820"/>
    <w:rsid w:val="2C527F9F"/>
    <w:rsid w:val="2C6C12B9"/>
    <w:rsid w:val="2CA93C52"/>
    <w:rsid w:val="2D912E3A"/>
    <w:rsid w:val="2DC02C2B"/>
    <w:rsid w:val="2DE440F7"/>
    <w:rsid w:val="2E6F25DB"/>
    <w:rsid w:val="2E805E2F"/>
    <w:rsid w:val="2F412AB7"/>
    <w:rsid w:val="2FA14A50"/>
    <w:rsid w:val="2FA70F17"/>
    <w:rsid w:val="30CB447B"/>
    <w:rsid w:val="3115573F"/>
    <w:rsid w:val="32951C0D"/>
    <w:rsid w:val="32F131F1"/>
    <w:rsid w:val="33CE5AF4"/>
    <w:rsid w:val="33D72F2D"/>
    <w:rsid w:val="340E7198"/>
    <w:rsid w:val="34A75784"/>
    <w:rsid w:val="3581551C"/>
    <w:rsid w:val="35947F79"/>
    <w:rsid w:val="35D65FDD"/>
    <w:rsid w:val="36C14F46"/>
    <w:rsid w:val="36C44D71"/>
    <w:rsid w:val="373F75CC"/>
    <w:rsid w:val="37C101D4"/>
    <w:rsid w:val="38F320AA"/>
    <w:rsid w:val="38FB27F3"/>
    <w:rsid w:val="39584559"/>
    <w:rsid w:val="399D40A5"/>
    <w:rsid w:val="39E5435C"/>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43745"/>
    <w:rsid w:val="3EEE419C"/>
    <w:rsid w:val="3EFE09FD"/>
    <w:rsid w:val="3F032E01"/>
    <w:rsid w:val="3F2C758E"/>
    <w:rsid w:val="3F345DBE"/>
    <w:rsid w:val="40164730"/>
    <w:rsid w:val="40E44318"/>
    <w:rsid w:val="40F15753"/>
    <w:rsid w:val="41F950F8"/>
    <w:rsid w:val="428A4A5E"/>
    <w:rsid w:val="42EB3BA1"/>
    <w:rsid w:val="42F51780"/>
    <w:rsid w:val="43F11831"/>
    <w:rsid w:val="43F63E0D"/>
    <w:rsid w:val="44092E2E"/>
    <w:rsid w:val="441077D2"/>
    <w:rsid w:val="44396064"/>
    <w:rsid w:val="458C38B3"/>
    <w:rsid w:val="459609D9"/>
    <w:rsid w:val="45A37566"/>
    <w:rsid w:val="45B634E5"/>
    <w:rsid w:val="45CF0A85"/>
    <w:rsid w:val="46020C32"/>
    <w:rsid w:val="46194A11"/>
    <w:rsid w:val="461E2AF1"/>
    <w:rsid w:val="47752ACA"/>
    <w:rsid w:val="477D75D8"/>
    <w:rsid w:val="47A71483"/>
    <w:rsid w:val="47C813F2"/>
    <w:rsid w:val="48352178"/>
    <w:rsid w:val="489B63EF"/>
    <w:rsid w:val="48D7317F"/>
    <w:rsid w:val="4953255E"/>
    <w:rsid w:val="49BF13F0"/>
    <w:rsid w:val="49C623EE"/>
    <w:rsid w:val="49D75468"/>
    <w:rsid w:val="49E169F0"/>
    <w:rsid w:val="4A1F6F8D"/>
    <w:rsid w:val="4A4A74EF"/>
    <w:rsid w:val="4A6F6249"/>
    <w:rsid w:val="4AA77B51"/>
    <w:rsid w:val="4AB74C38"/>
    <w:rsid w:val="4B14426D"/>
    <w:rsid w:val="4B3320ED"/>
    <w:rsid w:val="4B6224E5"/>
    <w:rsid w:val="4B8C4A56"/>
    <w:rsid w:val="4BAB6225"/>
    <w:rsid w:val="4BF97936"/>
    <w:rsid w:val="4C2C4D07"/>
    <w:rsid w:val="4C457E30"/>
    <w:rsid w:val="4CAC2FB1"/>
    <w:rsid w:val="4D2A3925"/>
    <w:rsid w:val="4D597189"/>
    <w:rsid w:val="4DB20386"/>
    <w:rsid w:val="4DF02D90"/>
    <w:rsid w:val="4E665CB5"/>
    <w:rsid w:val="4EB84B21"/>
    <w:rsid w:val="4F271764"/>
    <w:rsid w:val="4F7D0512"/>
    <w:rsid w:val="4FAF4829"/>
    <w:rsid w:val="4FBA2B77"/>
    <w:rsid w:val="4FD46E6F"/>
    <w:rsid w:val="5005695E"/>
    <w:rsid w:val="50286811"/>
    <w:rsid w:val="50700F42"/>
    <w:rsid w:val="50B838CE"/>
    <w:rsid w:val="50ED1DE1"/>
    <w:rsid w:val="51266B84"/>
    <w:rsid w:val="51642661"/>
    <w:rsid w:val="5191036A"/>
    <w:rsid w:val="52465DB8"/>
    <w:rsid w:val="52940E89"/>
    <w:rsid w:val="529C26CA"/>
    <w:rsid w:val="538706F0"/>
    <w:rsid w:val="546B5509"/>
    <w:rsid w:val="548642E9"/>
    <w:rsid w:val="54A17941"/>
    <w:rsid w:val="54C12E33"/>
    <w:rsid w:val="55633225"/>
    <w:rsid w:val="556D6DC3"/>
    <w:rsid w:val="563B25E1"/>
    <w:rsid w:val="566A208A"/>
    <w:rsid w:val="56DD4D3A"/>
    <w:rsid w:val="57555A7B"/>
    <w:rsid w:val="5770382C"/>
    <w:rsid w:val="57846909"/>
    <w:rsid w:val="57A6753E"/>
    <w:rsid w:val="57CB522F"/>
    <w:rsid w:val="57F46FBE"/>
    <w:rsid w:val="58042686"/>
    <w:rsid w:val="58246D5D"/>
    <w:rsid w:val="58EC5960"/>
    <w:rsid w:val="58F05C44"/>
    <w:rsid w:val="58F400B4"/>
    <w:rsid w:val="59151C86"/>
    <w:rsid w:val="59732982"/>
    <w:rsid w:val="598F0769"/>
    <w:rsid w:val="59C52328"/>
    <w:rsid w:val="5AD37D8A"/>
    <w:rsid w:val="5AF87BF9"/>
    <w:rsid w:val="5B0F1B49"/>
    <w:rsid w:val="5B906095"/>
    <w:rsid w:val="5BC6560B"/>
    <w:rsid w:val="5BF60A75"/>
    <w:rsid w:val="5C813B75"/>
    <w:rsid w:val="5C9F2D01"/>
    <w:rsid w:val="5D3F3466"/>
    <w:rsid w:val="5D5617A6"/>
    <w:rsid w:val="5D716329"/>
    <w:rsid w:val="5EA23F15"/>
    <w:rsid w:val="5EA7685B"/>
    <w:rsid w:val="5ED40954"/>
    <w:rsid w:val="5EFA4E95"/>
    <w:rsid w:val="60BE22C5"/>
    <w:rsid w:val="612C30C5"/>
    <w:rsid w:val="619A2BBF"/>
    <w:rsid w:val="61DF02D0"/>
    <w:rsid w:val="61F12735"/>
    <w:rsid w:val="61FB37A1"/>
    <w:rsid w:val="62710E5F"/>
    <w:rsid w:val="62AD0966"/>
    <w:rsid w:val="63735B47"/>
    <w:rsid w:val="63FF1EA7"/>
    <w:rsid w:val="64201218"/>
    <w:rsid w:val="64C32497"/>
    <w:rsid w:val="669D0EEA"/>
    <w:rsid w:val="66B64FC1"/>
    <w:rsid w:val="66C861F9"/>
    <w:rsid w:val="66D04BBC"/>
    <w:rsid w:val="67655BF9"/>
    <w:rsid w:val="678C3343"/>
    <w:rsid w:val="67C6389B"/>
    <w:rsid w:val="685D4EEE"/>
    <w:rsid w:val="68AE1587"/>
    <w:rsid w:val="68CC4906"/>
    <w:rsid w:val="68D53E8D"/>
    <w:rsid w:val="69605268"/>
    <w:rsid w:val="699C76C5"/>
    <w:rsid w:val="6A194855"/>
    <w:rsid w:val="6A2F056E"/>
    <w:rsid w:val="6A7219A6"/>
    <w:rsid w:val="6B292599"/>
    <w:rsid w:val="6D9172E5"/>
    <w:rsid w:val="6DF1703F"/>
    <w:rsid w:val="6E133456"/>
    <w:rsid w:val="6ECB7DD2"/>
    <w:rsid w:val="6F123DD8"/>
    <w:rsid w:val="6F1E315D"/>
    <w:rsid w:val="6F2A3FC1"/>
    <w:rsid w:val="6F79454F"/>
    <w:rsid w:val="6F9153AC"/>
    <w:rsid w:val="6FE61065"/>
    <w:rsid w:val="70521A25"/>
    <w:rsid w:val="70675779"/>
    <w:rsid w:val="708633A4"/>
    <w:rsid w:val="70C135EC"/>
    <w:rsid w:val="712C7DE8"/>
    <w:rsid w:val="713E0334"/>
    <w:rsid w:val="716F5E64"/>
    <w:rsid w:val="72417AFE"/>
    <w:rsid w:val="72585CB5"/>
    <w:rsid w:val="729B5F03"/>
    <w:rsid w:val="72D92B78"/>
    <w:rsid w:val="72F62A89"/>
    <w:rsid w:val="731B289D"/>
    <w:rsid w:val="736D22BA"/>
    <w:rsid w:val="737357AF"/>
    <w:rsid w:val="74163BE4"/>
    <w:rsid w:val="74A928A6"/>
    <w:rsid w:val="75161F9C"/>
    <w:rsid w:val="75281843"/>
    <w:rsid w:val="75292EAC"/>
    <w:rsid w:val="755A5FEF"/>
    <w:rsid w:val="75775016"/>
    <w:rsid w:val="758E0106"/>
    <w:rsid w:val="7626762C"/>
    <w:rsid w:val="763869A4"/>
    <w:rsid w:val="7667781E"/>
    <w:rsid w:val="76DD4C80"/>
    <w:rsid w:val="778F5135"/>
    <w:rsid w:val="77B53D6B"/>
    <w:rsid w:val="77D54B08"/>
    <w:rsid w:val="78431DDA"/>
    <w:rsid w:val="784F7772"/>
    <w:rsid w:val="785868AD"/>
    <w:rsid w:val="78713929"/>
    <w:rsid w:val="787E700E"/>
    <w:rsid w:val="78E55995"/>
    <w:rsid w:val="79267C0B"/>
    <w:rsid w:val="793F61E8"/>
    <w:rsid w:val="79C90FB7"/>
    <w:rsid w:val="7A25684F"/>
    <w:rsid w:val="7A2847FC"/>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4E30FB"/>
    <w:rsid w:val="7F78012E"/>
    <w:rsid w:val="7F7B591C"/>
    <w:rsid w:val="7FC51DE6"/>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2024-10-28T02:02:42Z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