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_Toc95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bookmarkStart w:id="50" w:name="_GoBack"/>
          <w:r>
            <w:rPr>
              <w:bCs/>
            </w:rPr>
            <w:fldChar w:fldCharType="begin"/>
          </w:r>
          <w:r>
            <w:rPr>
              <w:bCs/>
            </w:rPr>
            <w:instrText xml:space="preserve"> HYPERLINK \l _Toc8188 </w:instrText>
          </w:r>
          <w:r>
            <w:rPr>
              <w:bCs/>
            </w:rPr>
            <w:fldChar w:fldCharType="separate"/>
          </w:r>
          <w:r>
            <w:rPr>
              <w:rFonts w:hint="eastAsia" w:ascii="Times New Roman" w:hAnsi="Times New Roman" w:eastAsia="楷体"/>
              <w:szCs w:val="24"/>
            </w:rPr>
            <w:t>股指：弱势震荡</w:t>
          </w:r>
          <w:r>
            <w:rPr>
              <w:bCs/>
            </w:rPr>
            <w:fldChar w:fldCharType="end"/>
          </w:r>
        </w:p>
        <w:p>
          <w:pPr>
            <w:pStyle w:val="59"/>
            <w:tabs>
              <w:tab w:val="right" w:leader="dot" w:pos="8306"/>
            </w:tabs>
          </w:pPr>
          <w:r>
            <w:rPr>
              <w:bCs/>
            </w:rPr>
            <w:fldChar w:fldCharType="begin"/>
          </w:r>
          <w:r>
            <w:rPr>
              <w:bCs/>
            </w:rPr>
            <w:instrText xml:space="preserve"> HYPERLINK \l _Toc21900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_Toc31446 </w:instrText>
          </w:r>
          <w:r>
            <w:rPr>
              <w:bCs/>
            </w:rPr>
            <w:fldChar w:fldCharType="separate"/>
          </w:r>
          <w:r>
            <w:rPr>
              <w:rFonts w:hint="eastAsia" w:ascii="Times New Roman" w:hAnsi="Times New Roman" w:eastAsia="楷体"/>
              <w:szCs w:val="24"/>
            </w:rPr>
            <w:t>贵金属：欧央行如期降息，贵金属价格上涨</w:t>
          </w:r>
          <w:r>
            <w:rPr>
              <w:bCs/>
            </w:rPr>
            <w:fldChar w:fldCharType="end"/>
          </w:r>
        </w:p>
        <w:p>
          <w:pPr>
            <w:pStyle w:val="59"/>
            <w:tabs>
              <w:tab w:val="right" w:leader="dot" w:pos="8306"/>
            </w:tabs>
          </w:pPr>
          <w:r>
            <w:rPr>
              <w:bCs/>
            </w:rPr>
            <w:fldChar w:fldCharType="begin"/>
          </w:r>
          <w:r>
            <w:rPr>
              <w:bCs/>
            </w:rPr>
            <w:instrText xml:space="preserve"> HYPERLINK \l _Toc28535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_Toc199 </w:instrText>
          </w:r>
          <w:r>
            <w:rPr>
              <w:bCs/>
            </w:rPr>
            <w:fldChar w:fldCharType="separate"/>
          </w:r>
          <w:r>
            <w:rPr>
              <w:rFonts w:hint="eastAsia" w:ascii="楷体" w:hAnsi="楷体" w:eastAsia="楷体"/>
              <w:szCs w:val="24"/>
            </w:rPr>
            <w:t>碳酸锂：情绪面影响减弱，主力期价小幅收涨</w:t>
          </w:r>
          <w:r>
            <w:rPr>
              <w:bCs/>
            </w:rPr>
            <w:fldChar w:fldCharType="end"/>
          </w:r>
        </w:p>
        <w:p>
          <w:pPr>
            <w:pStyle w:val="74"/>
            <w:tabs>
              <w:tab w:val="right" w:leader="dot" w:pos="8306"/>
            </w:tabs>
          </w:pPr>
          <w:r>
            <w:rPr>
              <w:bCs/>
            </w:rPr>
            <w:fldChar w:fldCharType="begin"/>
          </w:r>
          <w:r>
            <w:rPr>
              <w:bCs/>
            </w:rPr>
            <w:instrText xml:space="preserve"> HYPERLINK \l _Toc26928 </w:instrText>
          </w:r>
          <w:r>
            <w:rPr>
              <w:bCs/>
            </w:rPr>
            <w:fldChar w:fldCharType="separate"/>
          </w:r>
          <w:r>
            <w:rPr>
              <w:rFonts w:hint="eastAsia" w:ascii="楷体" w:hAnsi="楷体" w:eastAsia="楷体"/>
              <w:szCs w:val="24"/>
            </w:rPr>
            <w:t>铝：铝价偏强震荡运行</w:t>
          </w:r>
          <w:r>
            <w:rPr>
              <w:bCs/>
            </w:rPr>
            <w:fldChar w:fldCharType="end"/>
          </w:r>
        </w:p>
        <w:p>
          <w:pPr>
            <w:pStyle w:val="74"/>
            <w:tabs>
              <w:tab w:val="right" w:leader="dot" w:pos="8306"/>
            </w:tabs>
          </w:pPr>
          <w:r>
            <w:rPr>
              <w:bCs/>
            </w:rPr>
            <w:fldChar w:fldCharType="begin"/>
          </w:r>
          <w:r>
            <w:rPr>
              <w:bCs/>
            </w:rPr>
            <w:instrText xml:space="preserve"> HYPERLINK \l _Toc23831 </w:instrText>
          </w:r>
          <w:r>
            <w:rPr>
              <w:bCs/>
            </w:rPr>
            <w:fldChar w:fldCharType="separate"/>
          </w:r>
          <w:r>
            <w:rPr>
              <w:rFonts w:hint="eastAsia" w:ascii="楷体" w:hAnsi="楷体" w:eastAsia="楷体"/>
              <w:szCs w:val="24"/>
            </w:rPr>
            <w:t>锌：锌价反弹力度较强</w:t>
          </w:r>
          <w:r>
            <w:rPr>
              <w:bCs/>
            </w:rPr>
            <w:fldChar w:fldCharType="end"/>
          </w:r>
        </w:p>
        <w:p>
          <w:pPr>
            <w:pStyle w:val="74"/>
            <w:tabs>
              <w:tab w:val="right" w:leader="dot" w:pos="8306"/>
            </w:tabs>
          </w:pPr>
          <w:r>
            <w:rPr>
              <w:bCs/>
            </w:rPr>
            <w:fldChar w:fldCharType="begin"/>
          </w:r>
          <w:r>
            <w:rPr>
              <w:bCs/>
            </w:rPr>
            <w:instrText xml:space="preserve"> HYPERLINK \l _Toc13171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：反弹高度谨慎</w:t>
          </w:r>
          <w:r>
            <w:rPr>
              <w:bCs/>
            </w:rPr>
            <w:fldChar w:fldCharType="end"/>
          </w:r>
        </w:p>
        <w:p>
          <w:pPr>
            <w:pStyle w:val="74"/>
            <w:tabs>
              <w:tab w:val="right" w:leader="dot" w:pos="8306"/>
            </w:tabs>
          </w:pPr>
          <w:r>
            <w:rPr>
              <w:bCs/>
            </w:rPr>
            <w:fldChar w:fldCharType="begin"/>
          </w:r>
          <w:r>
            <w:rPr>
              <w:bCs/>
            </w:rPr>
            <w:instrText xml:space="preserve"> HYPERLINK \l _Toc11739 </w:instrText>
          </w:r>
          <w:r>
            <w:rPr>
              <w:bCs/>
            </w:rPr>
            <w:fldChar w:fldCharType="separate"/>
          </w:r>
          <w:r>
            <w:rPr>
              <w:rFonts w:hint="eastAsia" w:ascii="楷体" w:hAnsi="楷体" w:eastAsia="楷体"/>
              <w:szCs w:val="24"/>
            </w:rPr>
            <w:t>镍：消息面提振，关注反弹沽空机会</w:t>
          </w:r>
          <w:r>
            <w:rPr>
              <w:bCs/>
            </w:rPr>
            <w:fldChar w:fldCharType="end"/>
          </w:r>
        </w:p>
        <w:p>
          <w:pPr>
            <w:pStyle w:val="74"/>
            <w:tabs>
              <w:tab w:val="right" w:leader="dot" w:pos="8306"/>
            </w:tabs>
          </w:pPr>
          <w:r>
            <w:rPr>
              <w:bCs/>
            </w:rPr>
            <w:fldChar w:fldCharType="begin"/>
          </w:r>
          <w:r>
            <w:rPr>
              <w:bCs/>
            </w:rPr>
            <w:instrText xml:space="preserve"> HYPERLINK \l _Toc19227 </w:instrText>
          </w:r>
          <w:r>
            <w:rPr>
              <w:bCs/>
            </w:rPr>
            <w:fldChar w:fldCharType="separate"/>
          </w:r>
          <w:r>
            <w:rPr>
              <w:rFonts w:hint="eastAsia" w:ascii="楷体" w:hAnsi="楷体" w:eastAsia="楷体"/>
              <w:szCs w:val="24"/>
            </w:rPr>
            <w:t>不锈钢：期价承压运行</w:t>
          </w:r>
          <w:r>
            <w:rPr>
              <w:bCs/>
            </w:rPr>
            <w:fldChar w:fldCharType="end"/>
          </w:r>
        </w:p>
        <w:p>
          <w:pPr>
            <w:pStyle w:val="74"/>
            <w:tabs>
              <w:tab w:val="right" w:leader="dot" w:pos="8306"/>
            </w:tabs>
          </w:pPr>
          <w:r>
            <w:rPr>
              <w:bCs/>
            </w:rPr>
            <w:fldChar w:fldCharType="begin"/>
          </w:r>
          <w:r>
            <w:rPr>
              <w:bCs/>
            </w:rPr>
            <w:instrText xml:space="preserve"> HYPERLINK \l _Toc32540 </w:instrText>
          </w:r>
          <w:r>
            <w:rPr>
              <w:bCs/>
            </w:rPr>
            <w:fldChar w:fldCharType="separate"/>
          </w:r>
          <w:r>
            <w:rPr>
              <w:rFonts w:hint="eastAsia" w:ascii="楷体" w:hAnsi="楷体" w:eastAsia="楷体"/>
              <w:szCs w:val="24"/>
            </w:rPr>
            <w:t>工业硅：商品情绪有所好转，短期盘面或维持震荡运行</w:t>
          </w:r>
          <w:r>
            <w:rPr>
              <w:bCs/>
            </w:rPr>
            <w:fldChar w:fldCharType="end"/>
          </w:r>
        </w:p>
        <w:p>
          <w:pPr>
            <w:pStyle w:val="74"/>
            <w:tabs>
              <w:tab w:val="right" w:leader="dot" w:pos="8306"/>
            </w:tabs>
          </w:pPr>
          <w:r>
            <w:rPr>
              <w:bCs/>
            </w:rPr>
            <w:fldChar w:fldCharType="begin"/>
          </w:r>
          <w:r>
            <w:rPr>
              <w:bCs/>
            </w:rPr>
            <w:instrText xml:space="preserve"> HYPERLINK \l _Toc27721 </w:instrText>
          </w:r>
          <w:r>
            <w:rPr>
              <w:bCs/>
            </w:rPr>
            <w:fldChar w:fldCharType="separate"/>
          </w:r>
          <w:r>
            <w:rPr>
              <w:rFonts w:hint="eastAsia" w:ascii="楷体" w:hAnsi="楷体" w:eastAsia="楷体"/>
              <w:szCs w:val="24"/>
            </w:rPr>
            <w:t>螺纹钢：宏观情绪有所好转，盘面反弹对待</w:t>
          </w:r>
          <w:r>
            <w:rPr>
              <w:bCs/>
            </w:rPr>
            <w:fldChar w:fldCharType="end"/>
          </w:r>
        </w:p>
        <w:p>
          <w:pPr>
            <w:pStyle w:val="59"/>
            <w:tabs>
              <w:tab w:val="right" w:leader="dot" w:pos="8306"/>
            </w:tabs>
          </w:pPr>
          <w:r>
            <w:rPr>
              <w:bCs/>
            </w:rPr>
            <w:fldChar w:fldCharType="begin"/>
          </w:r>
          <w:r>
            <w:rPr>
              <w:bCs/>
            </w:rPr>
            <w:instrText xml:space="preserve"> HYPERLINK \l _Toc17382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_Toc28564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成本支撑坚挺 天胶价格偏强震荡</w:t>
          </w:r>
          <w:r>
            <w:rPr>
              <w:bCs/>
            </w:rPr>
            <w:fldChar w:fldCharType="end"/>
          </w:r>
        </w:p>
        <w:p>
          <w:pPr>
            <w:pStyle w:val="74"/>
            <w:tabs>
              <w:tab w:val="right" w:leader="dot" w:pos="8306"/>
            </w:tabs>
          </w:pPr>
          <w:r>
            <w:rPr>
              <w:bCs/>
            </w:rPr>
            <w:fldChar w:fldCharType="begin"/>
          </w:r>
          <w:r>
            <w:rPr>
              <w:bCs/>
            </w:rPr>
            <w:instrText xml:space="preserve"> HYPERLINK \l _Toc25895 </w:instrText>
          </w:r>
          <w:r>
            <w:rPr>
              <w:bCs/>
            </w:rPr>
            <w:fldChar w:fldCharType="separate"/>
          </w:r>
          <w:r>
            <w:rPr>
              <w:rFonts w:hint="eastAsia" w:ascii="Times New Roman" w:hAnsi="Times New Roman" w:eastAsia="楷体"/>
              <w:szCs w:val="24"/>
            </w:rPr>
            <w:t>聚烯烃：需求未见明显起色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_Toc10758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_Toc31824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_Toc11696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_Toc16390 </w:instrText>
          </w:r>
          <w:r>
            <w:rPr>
              <w:bCs/>
            </w:rPr>
            <w:fldChar w:fldCharType="separate"/>
          </w:r>
          <w:r>
            <w:rPr>
              <w:rFonts w:hint="eastAsia" w:ascii="Times New Roman" w:hAnsi="Times New Roman" w:eastAsia="楷体"/>
              <w:szCs w:val="24"/>
            </w:rPr>
            <w:t>PTA：宏观改善及油价企稳聚酯超跌反弹</w:t>
          </w:r>
          <w:r>
            <w:rPr>
              <w:bCs/>
            </w:rPr>
            <w:fldChar w:fldCharType="end"/>
          </w:r>
        </w:p>
        <w:p>
          <w:pPr>
            <w:pStyle w:val="74"/>
            <w:tabs>
              <w:tab w:val="right" w:leader="dot" w:pos="8306"/>
            </w:tabs>
          </w:pPr>
          <w:r>
            <w:rPr>
              <w:bCs/>
            </w:rPr>
            <w:fldChar w:fldCharType="begin"/>
          </w:r>
          <w:r>
            <w:rPr>
              <w:bCs/>
            </w:rPr>
            <w:instrText xml:space="preserve"> HYPERLINK \l _Toc30739 </w:instrText>
          </w:r>
          <w:r>
            <w:rPr>
              <w:bCs/>
            </w:rPr>
            <w:fldChar w:fldCharType="separate"/>
          </w:r>
          <w:r>
            <w:rPr>
              <w:rFonts w:hint="eastAsia" w:ascii="Times New Roman" w:hAnsi="Times New Roman" w:eastAsia="楷体"/>
              <w:szCs w:val="24"/>
            </w:rPr>
            <w:t>乙二醇：供需格局尚可 受成本端提振走强</w:t>
          </w:r>
          <w:r>
            <w:rPr>
              <w:bCs/>
            </w:rPr>
            <w:fldChar w:fldCharType="end"/>
          </w:r>
        </w:p>
        <w:p>
          <w:pPr>
            <w:pStyle w:val="59"/>
            <w:tabs>
              <w:tab w:val="right" w:leader="dot" w:pos="8306"/>
            </w:tabs>
          </w:pPr>
          <w:r>
            <w:rPr>
              <w:bCs/>
            </w:rPr>
            <w:fldChar w:fldCharType="begin"/>
          </w:r>
          <w:r>
            <w:rPr>
              <w:bCs/>
            </w:rPr>
            <w:instrText xml:space="preserve"> HYPERLINK \l _Toc7024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_Toc17595 </w:instrText>
          </w:r>
          <w:r>
            <w:rPr>
              <w:bCs/>
            </w:rPr>
            <w:fldChar w:fldCharType="separate"/>
          </w:r>
          <w:r>
            <w:rPr>
              <w:rFonts w:hint="eastAsia" w:ascii="楷体" w:hAnsi="楷体" w:eastAsia="楷体"/>
              <w:bCs/>
            </w:rPr>
            <w:t>玉米与淀粉：</w:t>
          </w:r>
          <w:r>
            <w:rPr>
              <w:rFonts w:hint="eastAsia" w:ascii="楷体" w:hAnsi="楷体" w:eastAsia="楷体"/>
            </w:rPr>
            <w:t>现货弱势未改，期价震荡偏弱</w:t>
          </w:r>
          <w:r>
            <w:rPr>
              <w:bCs/>
            </w:rPr>
            <w:fldChar w:fldCharType="end"/>
          </w:r>
        </w:p>
        <w:p>
          <w:pPr>
            <w:pStyle w:val="74"/>
            <w:tabs>
              <w:tab w:val="right" w:leader="dot" w:pos="8306"/>
            </w:tabs>
          </w:pPr>
          <w:r>
            <w:rPr>
              <w:bCs/>
            </w:rPr>
            <w:fldChar w:fldCharType="begin"/>
          </w:r>
          <w:r>
            <w:rPr>
              <w:bCs/>
            </w:rPr>
            <w:instrText xml:space="preserve"> HYPERLINK \l _Toc27877 </w:instrText>
          </w:r>
          <w:r>
            <w:rPr>
              <w:bCs/>
            </w:rPr>
            <w:fldChar w:fldCharType="separate"/>
          </w:r>
          <w:r>
            <w:rPr>
              <w:rFonts w:hint="eastAsia" w:ascii="楷体" w:hAnsi="楷体" w:eastAsia="楷体"/>
              <w:bCs/>
            </w:rPr>
            <w:t>畜禽养殖：期价多震荡运行</w:t>
          </w:r>
          <w:r>
            <w:rPr>
              <w:bCs/>
            </w:rPr>
            <w:fldChar w:fldCharType="end"/>
          </w:r>
        </w:p>
        <w:p>
          <w:pPr>
            <w:pStyle w:val="74"/>
            <w:tabs>
              <w:tab w:val="right" w:leader="dot" w:pos="8306"/>
            </w:tabs>
          </w:pPr>
          <w:r>
            <w:rPr>
              <w:bCs/>
            </w:rPr>
            <w:fldChar w:fldCharType="begin"/>
          </w:r>
          <w:r>
            <w:rPr>
              <w:bCs/>
            </w:rPr>
            <w:instrText xml:space="preserve"> HYPERLINK \l _Toc11703 </w:instrText>
          </w:r>
          <w:r>
            <w:rPr>
              <w:bCs/>
            </w:rPr>
            <w:fldChar w:fldCharType="separate"/>
          </w:r>
          <w:r>
            <w:rPr>
              <w:rFonts w:hint="eastAsia" w:ascii="楷体" w:hAnsi="楷体" w:eastAsia="楷体"/>
              <w:bCs/>
            </w:rPr>
            <w:t>白糖：震荡整理</w:t>
          </w:r>
          <w:r>
            <w:rPr>
              <w:bCs/>
            </w:rPr>
            <w:fldChar w:fldCharType="end"/>
          </w:r>
        </w:p>
        <w:p>
          <w:pPr>
            <w:pStyle w:val="74"/>
            <w:tabs>
              <w:tab w:val="right" w:leader="dot" w:pos="8306"/>
            </w:tabs>
          </w:pPr>
          <w:r>
            <w:rPr>
              <w:bCs/>
            </w:rPr>
            <w:fldChar w:fldCharType="begin"/>
          </w:r>
          <w:r>
            <w:rPr>
              <w:bCs/>
            </w:rPr>
            <w:instrText xml:space="preserve"> HYPERLINK \l _Toc3839 </w:instrText>
          </w:r>
          <w:r>
            <w:rPr>
              <w:bCs/>
            </w:rPr>
            <w:fldChar w:fldCharType="separate"/>
          </w:r>
          <w:r>
            <w:rPr>
              <w:rFonts w:hint="eastAsia" w:ascii="楷体" w:hAnsi="楷体" w:eastAsia="楷体"/>
              <w:bCs/>
            </w:rPr>
            <w:t>棉花：预计郑棉震荡整理</w:t>
          </w:r>
          <w:r>
            <w:rPr>
              <w:bCs/>
            </w:rPr>
            <w:fldChar w:fldCharType="end"/>
          </w:r>
        </w:p>
        <w:p>
          <w:pPr>
            <w:pStyle w:val="74"/>
            <w:tabs>
              <w:tab w:val="right" w:leader="dot" w:pos="8306"/>
            </w:tabs>
          </w:pPr>
          <w:r>
            <w:rPr>
              <w:bCs/>
            </w:rPr>
            <w:fldChar w:fldCharType="begin"/>
          </w:r>
          <w:r>
            <w:rPr>
              <w:bCs/>
            </w:rPr>
            <w:instrText xml:space="preserve"> HYPERLINK \l _Toc20697 </w:instrText>
          </w:r>
          <w:r>
            <w:rPr>
              <w:bCs/>
            </w:rPr>
            <w:fldChar w:fldCharType="separate"/>
          </w:r>
          <w:r>
            <w:rPr>
              <w:rFonts w:hint="eastAsia" w:ascii="楷体" w:hAnsi="楷体" w:eastAsia="楷体"/>
              <w:bCs/>
            </w:rPr>
            <w:t>蛋白粕：USDA最新数据调整不大，震荡运行</w:t>
          </w:r>
          <w:r>
            <w:rPr>
              <w:bCs/>
            </w:rPr>
            <w:fldChar w:fldCharType="end"/>
          </w:r>
        </w:p>
        <w:p>
          <w:pPr>
            <w:pStyle w:val="74"/>
            <w:tabs>
              <w:tab w:val="right" w:leader="dot" w:pos="8306"/>
            </w:tabs>
          </w:pPr>
          <w:r>
            <w:rPr>
              <w:bCs/>
            </w:rPr>
            <w:fldChar w:fldCharType="begin"/>
          </w:r>
          <w:r>
            <w:rPr>
              <w:bCs/>
            </w:rPr>
            <w:instrText xml:space="preserve"> HYPERLINK \l _Toc10086 </w:instrText>
          </w:r>
          <w:r>
            <w:rPr>
              <w:bCs/>
            </w:rPr>
            <w:fldChar w:fldCharType="separate"/>
          </w:r>
          <w:r>
            <w:rPr>
              <w:rFonts w:hint="eastAsia" w:ascii="楷体" w:hAnsi="楷体" w:eastAsia="楷体"/>
              <w:bCs/>
            </w:rPr>
            <w:t>油脂类：原油带动及旺季到来，油脂表现偏强</w:t>
          </w:r>
          <w:r>
            <w:rPr>
              <w:bCs/>
            </w:rPr>
            <w:fldChar w:fldCharType="end"/>
          </w:r>
        </w:p>
        <w:p>
          <w:pPr>
            <w:pStyle w:val="59"/>
            <w:tabs>
              <w:tab w:val="right" w:leader="dot" w:pos="8306"/>
            </w:tabs>
          </w:pPr>
          <w:r>
            <w:rPr>
              <w:bCs/>
            </w:rPr>
            <w:fldChar w:fldCharType="begin"/>
          </w:r>
          <w:r>
            <w:rPr>
              <w:bCs/>
            </w:rPr>
            <w:instrText xml:space="preserve"> HYPERLINK \l _Toc10206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_Toc20685 </w:instrText>
          </w:r>
          <w:r>
            <w:rPr>
              <w:bCs/>
            </w:rPr>
            <w:fldChar w:fldCharType="separate"/>
          </w:r>
          <w:r>
            <w:rPr>
              <w:rFonts w:hint="eastAsia" w:ascii="Times New Roman" w:hAnsi="Times New Roman" w:eastAsia="楷体"/>
              <w:szCs w:val="24"/>
            </w:rPr>
            <w:t>集运指数（欧线）：情绪修复超跌反弹，期价上涨</w:t>
          </w:r>
          <w:r>
            <w:rPr>
              <w:bCs/>
            </w:rPr>
            <w:fldChar w:fldCharType="end"/>
          </w:r>
        </w:p>
        <w:bookmarkEnd w:id="50"/>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9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818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弱势震荡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8月总体CPI放缓，但核心CPI环比连续第二个月反弹，显示通胀粘性仍在，美联储9月降息50bp的预期大幅走低，意味着当前市场对于大幅降息的定价可能过度激进，未来存在调整风险。近日A股市场再度走弱，各指数盘中一度创新低，但在资金护盘下时有反抽，出现结构性行情，但整体来看，A股继续面临基本面偏弱及稳增长政策路径的不确定性，9月中下旬双节效应或影响资金的交投意愿，对A股流动性仍是一大考验。</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190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1446"/>
      <w:r>
        <w:rPr>
          <w:rFonts w:hint="eastAsia" w:ascii="Times New Roman" w:hAnsi="Times New Roman" w:eastAsia="楷体"/>
          <w:b/>
          <w:color w:val="000000" w:themeColor="text1"/>
          <w:sz w:val="24"/>
          <w:szCs w:val="24"/>
          <w14:textFill>
            <w14:solidFill>
              <w14:schemeClr w14:val="tx1"/>
            </w14:solidFill>
          </w14:textFill>
        </w:rPr>
        <w:t>贵金属：欧央行如期降息，贵金属价格上涨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1.45%至582.16元/克，沪银涨3.46%至7354元/千克。欧洲央行公布最新利率决议，下调存款机制利率25个基点至3.5%，下调再融资利率60个基点至3.65%，下调边际贷款利率60个基点至3.9%，符合预期。欧洲央行不承诺未来会继续降息，下调今后三年的经济增长预期，整体通胀预期保持不变，预计今年的通胀率维持在2.5%，明年的通胀率为2.2%。美国8月PPI同比增1.7%，为今年2月以来最低，前值从2.2%下修至2.1%；PPI环比增0.2%，高于预期的0.1%。8月美国核心PPI同比增2.4%，高于前值的2.3%；环比增0.3%，高于预期的0.2%。美国生产端通胀下行，降息预期推动沪金沪银价格上涨，贵金属配置价值凸显。</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2853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99"/>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碳酸锂：情绪面影响减弱，主力期价小幅收涨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期价高开近4%，情绪消化后盘中震荡回落，11合约收涨0.39%至76950元/吨。9月11日当天，市场传闻宁德时代宜春锂矿的选矿厂有停产计划，随后宁德时代方面向媒体回应表示，根据近期碳酸锂市场情况，公司拟对宜春碳酸锂生产安排进行调整。9月11日，九岭锂业公告，旗下春友锂业的矿山进行为期15日停产检修工作，九宇选矿厂进行为期10日停产检修工作。需求端9月下游排产向好，预计磷酸铁锂产量环比增加约10%；供给端出现边际收缩，若锂企减停产规模进一步扩大，供需格局或暂时接近平衡。主力11月合约上方面临整数关口压力，近期消息面因素一度推动锂价上涨，情绪面影响减弱后短线期价或于7-8万元/吨区间震荡运行。四季度下游及终端旺季或推动需求上行，震荡中枢有望小幅抬升；中期角度而言维持偏空思路。</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26928"/>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铝价偏强震荡运行</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经济衰退情绪影响未退，交投市场成交疲软，对有色价格形成压制，美联储降息是9月宏观情绪有效提振的重要利好。单从沪铝基本面来看，铝土矿紧缺问题短期内难以扭转，几内亚在9-10月矿产出港情况或因雨季影响持续困难，氧化铝价格高位难跌为沪铝提供成本支撑，电解铝冶炼开产高位，下游需求进入旺季消费，库存出现去库拐头信号，铝价反弹偏强震荡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3831"/>
      <w:r>
        <w:rPr>
          <w:rFonts w:hint="eastAsia" w:ascii="楷体" w:hAnsi="楷体" w:eastAsia="楷体"/>
          <w:b/>
          <w:color w:val="000000" w:themeColor="text1"/>
          <w:sz w:val="24"/>
          <w:szCs w:val="24"/>
          <w14:textFill>
            <w14:solidFill>
              <w14:schemeClr w14:val="tx1"/>
            </w14:solidFill>
          </w14:textFill>
        </w:rPr>
        <w:t>锌：锌价反弹力度较强</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紧缺矛盾依旧，海外Oz矿复产但近期向国内快速补充可能较小，中游冶炼利润小有修复但保持负反馈状态，后续精炼锌冶炼仍有压力减停产，进入旺季下游需求表现疲软，钢板消费低迷拖累镀锌消费，氧化锌、锌合金消费仍有韧性，库存快速去库，两节假期前的下游刚性备库提振需求预期，锌价盘整后反弹力度较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3171"/>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：反弹高度谨慎</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(1)宏观：9月12日周四，美国劳工部（BLS）公布数据显示，美国8月PPI同比增1.7%，符合预期，为自二月以来最低；环比增0.2%，高于预期0.1%；同时，7月PPI从2.2%被下调至2.1%，进一步显示通胀压力正在趋缓。</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(2)库存：9月12日，SHFE仓单库存99740吨，减2322吨；LME仓单库存311650吨，减3300吨。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(3)精废价差：9月12日，Mysteel精废价差1187，扩张221。目前价差在合理价差1435之下。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8月通胀延续下行，核心通胀维持粘性，9月美联储降息50bp的预期有所降温，美联储官员表态偏鸽，短期宏观情绪有所好转。基本面，铜价下跌后刺激部分精铜消费，库存去化节奏再次加快，且铜矿TC依旧维持低位，粗铜加工费大幅下挫，冶炼厂原料供应风险仍存，对价格形成一定支撑，短期价格呈震荡偏强运行，但全球经济下行较为确定，反弹高度谨慎。</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1739"/>
      <w:r>
        <w:rPr>
          <w:rFonts w:hint="eastAsia" w:ascii="楷体" w:hAnsi="楷体" w:eastAsia="楷体"/>
          <w:b/>
          <w:color w:val="000000" w:themeColor="text1"/>
          <w:sz w:val="24"/>
          <w:szCs w:val="24"/>
          <w14:textFill>
            <w14:solidFill>
              <w14:schemeClr w14:val="tx1"/>
            </w14:solidFill>
          </w14:textFill>
        </w:rPr>
        <w:t>镍：消息面提振，关注反弹沽空机会</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衰退悲观情绪有所缓和。消息面，普京要求政府研究限制镍矿等战略资源出口的措施，对镍价带来提振，就其对基本面影响而言，俄限制镍矿出口的影响十分有限，而2023年俄精炼镍占据全球产量超20%，若俄镍被限制出口，将改善镍市过剩压力。镍矿方面，近日印尼天气有所好转，警惕印尼镍矿供应放量使成本支撑下移的风险。硫酸镍方面，虽然硫酸镍库存偏低，下游采买需求疲软，硫酸镍价承压运行。供需方面，精炼镍继续处于过剩格局，库存维持趋势性累库。综合而言，衰退悲观情绪有所缓和，俄考虑限制镍资源出口消息带来提振，但弱基本面情况下镍价反弹空间始终受限，建议关注反弹沽空机会。</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9227"/>
      <w:r>
        <w:rPr>
          <w:rFonts w:hint="eastAsia" w:ascii="楷体" w:hAnsi="楷体" w:eastAsia="楷体"/>
          <w:b/>
          <w:color w:val="000000" w:themeColor="text1"/>
          <w:sz w:val="24"/>
          <w:szCs w:val="24"/>
          <w14:textFill>
            <w14:solidFill>
              <w14:schemeClr w14:val="tx1"/>
            </w14:solidFill>
          </w14:textFill>
        </w:rPr>
        <w:t>不锈钢：期价承压运行</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经济悲观情绪有所释放。镍矿方面，近日印尼天气转好，警惕印尼镍矿供应宽松带来利空风险。镍铁方面，下游钢厂亏损加重，负反馈使镍铁价格承压，最新华东某特钢厂高镍铁采购价990元/镍（到厂含税），成交2000吨，现货交易。供需方面，下游节前补库意愿一般，市场传言广西某304钢厂减产至月底。库存方面，截至9月12日，全国主流市场不锈钢89仓库口径社会总库存1024388吨，周环比减3.54%。综合而言，宏观衰退忧虑有所释放，但不锈钢需求仍以刚需采购为主，价格缺乏向上驱动，有效反弹需要等待减产力度加大或需求改善。</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3254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商品情绪有所好转，短期盘面或维持震荡运行</w:t>
      </w:r>
      <w:bookmarkEnd w:id="25"/>
    </w:p>
    <w:p>
      <w:pPr>
        <w:ind w:left="630" w:leftChars="300"/>
        <w:rPr>
          <w:rFonts w:ascii="楷体" w:hAnsi="楷体" w:eastAsia="楷体"/>
          <w:sz w:val="24"/>
          <w:szCs w:val="24"/>
        </w:rPr>
      </w:pPr>
      <w:r>
        <w:rPr>
          <w:rFonts w:hint="eastAsia" w:ascii="楷体" w:hAnsi="楷体" w:eastAsia="楷体"/>
          <w:sz w:val="24"/>
          <w:szCs w:val="24"/>
        </w:rPr>
        <w:t>9月12日，Si2411主力合约有所回落，收盘价9735元/吨，较上一收盘价涨跌幅-1.27%。宏观方面，美国8月通胀延续下行，核心通胀维持粘性，9月美联储降息50bp的预期有所降温，美联储官员表态偏鸽，短期宏观情绪有所好转，使得工业品出现一定反弹。基本面方面，行业开炉率边际有所下降，但核心需求多晶硅仍未出现明显恢复，使得供应整体依旧处于宽松格局，反弹压力仍存，但也要注意盘面整体估值相对较低，已跌破较多工厂成本线，同时降息预期增强对工业品有一定支撑，短期下跌空间有限。因此，盘面以低位震荡对待，主力合约参考区间（9300，10200）。策略上，恢复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6" w:name="_Toc27721"/>
      <w:r>
        <w:rPr>
          <w:rFonts w:hint="eastAsia" w:ascii="楷体" w:hAnsi="楷体" w:eastAsia="楷体"/>
          <w:b/>
          <w:color w:val="000000" w:themeColor="text1"/>
          <w:sz w:val="24"/>
          <w:szCs w:val="24"/>
          <w14:textFill>
            <w14:solidFill>
              <w14:schemeClr w14:val="tx1"/>
            </w14:solidFill>
          </w14:textFill>
        </w:rPr>
        <w:t>螺纹钢：宏观情绪有所好转，盘面反弹对待</w:t>
      </w:r>
      <w:bookmarkEnd w:id="26"/>
    </w:p>
    <w:p>
      <w:pPr>
        <w:ind w:left="630" w:leftChars="300"/>
        <w:rPr>
          <w:rFonts w:ascii="楷体" w:hAnsi="楷体" w:eastAsia="楷体"/>
          <w:sz w:val="24"/>
          <w:szCs w:val="24"/>
        </w:rPr>
      </w:pPr>
      <w:r>
        <w:rPr>
          <w:rFonts w:hint="eastAsia" w:ascii="楷体" w:hAnsi="楷体" w:eastAsia="楷体"/>
          <w:sz w:val="24"/>
          <w:szCs w:val="24"/>
        </w:rPr>
        <w:t>宏观方面，美国8月通胀延续下行，核心通胀维持粘性，9月美联储降息50bp的预期有所降温，美联储官员表态偏鸽，短期宏观情绪有所好转。基本面方面，据钢谷网数据统计，全国建材产量环比上周增加15.77万吨，而建材库存持续去化，表观需求环比上周有所增加，现货价格有所反弹，但伴随钢厂利润的好转，预计钢材产量会继续回升，后续重点关注旺季需求修复情况，若需求改善无明显改善，预计盘面反弹压力仍存。</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17382"/>
      <w:r>
        <w:rPr>
          <w:rFonts w:hint="eastAsia" w:ascii="Times New Roman" w:hAnsi="Times New Roman" w:eastAsia="楷体"/>
          <w:b/>
          <w:color w:val="823C0B"/>
          <w:sz w:val="30"/>
          <w:szCs w:val="30"/>
        </w:rPr>
        <w:t>[化工]</w:t>
      </w:r>
      <w:bookmarkEnd w:id="27"/>
      <w:bookmarkEnd w:id="28"/>
    </w:p>
    <w:p>
      <w:pPr>
        <w:ind w:firstLine="482" w:firstLineChars="200"/>
        <w:outlineLvl w:val="1"/>
        <w:rPr>
          <w:rFonts w:ascii="楷体" w:hAnsi="楷体" w:eastAsia="楷体"/>
          <w:b/>
          <w:sz w:val="24"/>
          <w:szCs w:val="24"/>
        </w:rPr>
      </w:pPr>
      <w:bookmarkStart w:id="29" w:name="_Toc2856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成本支撑坚挺 天胶价格偏强震荡</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盘面延续拉涨，主要原因是泰国地区原料报价节节高，同时青岛库存大幅降库，海南、云南产区受台风影响到市场供应，市场拉涨心态较浓。目前看，产云南台风“魔羯”早前抵达云南产区，其中作用于勐腊县影响较大，部分加工厂已进入停工停产防风抗汛状态，与此同时，泰国宋卡原料价格持续上涨，为天胶提供较强底部支撑。需求端来看，下游轮胎企业开工率高位维持，半钢胎在海外出口需求旺盛下，开工率高位持稳，对原料补库积极性提高，提振天胶消费。全钢胎消费稳中转好。终端汽车方面，9月车企优惠政策延续。根据工信部最新公布的新车上市名录里面可以看到，多家车企的新车型与换代车型将于近期发售，亦将刺激未来汽车销售增长预期。整体看，近期海外原料价格保持高位，同时云南地区极端天气或导致交割品不足等问题。中长线来看，全年天然橡胶依旧处于供小于求的供需格局，建议待节后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0" w:name="_Toc25895"/>
      <w:r>
        <w:rPr>
          <w:rFonts w:hint="eastAsia" w:ascii="Times New Roman" w:hAnsi="Times New Roman" w:eastAsia="楷体"/>
          <w:b/>
          <w:color w:val="000000" w:themeColor="text1"/>
          <w:sz w:val="24"/>
          <w:szCs w:val="24"/>
          <w14:textFill>
            <w14:solidFill>
              <w14:schemeClr w14:val="tx1"/>
            </w14:solidFill>
          </w14:textFill>
        </w:rPr>
        <w:t>聚烯烃：需求未见明显起色 聚烯烃跟随原油价格走势为主</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PE方面，成本端油制生产利润较今年一季度改善明显，成本支撑减弱，供应端开工回落，短期临检偏多，后市开工预计小幅震荡。需求端，下游整体需求有回暖预期，预计后市供需均有所回升。PP方面，成本支撑减弱。供应端开工率低位回升，下周久泰能源等5套装置计划重启，检修暂无，供应环比增加。需求端，下游需求暂无明显好转，刚需采购为主。整体看，聚烯烃成本支撑减弱，需求暂无明显好转，且库存中性偏高，预计跟随成本端与工业品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1" w:name="_Toc10758"/>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2" w:name="_Toc31824"/>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11696"/>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3"/>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4" w:name="_Toc16390"/>
      <w:r>
        <w:rPr>
          <w:rFonts w:hint="eastAsia" w:ascii="Times New Roman" w:hAnsi="Times New Roman" w:eastAsia="楷体"/>
          <w:b/>
          <w:color w:val="000000" w:themeColor="text1"/>
          <w:sz w:val="24"/>
          <w:szCs w:val="24"/>
          <w14:textFill>
            <w14:solidFill>
              <w14:schemeClr w14:val="tx1"/>
            </w14:solidFill>
          </w14:textFill>
        </w:rPr>
        <w:t>PTA：宏观改善及油价企稳聚酯超跌反弹</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原油及PX方面，近期墨西哥湾飓风、欧洲央行降息、美联储降息预期等宏观氛围改善提振油价，油价止跌调整。PX-NAP压缩至200美元/吨成分端提振。</w:t>
      </w:r>
    </w:p>
    <w:p>
      <w:pPr>
        <w:ind w:left="630" w:leftChars="300"/>
        <w:rPr>
          <w:rFonts w:ascii="楷体" w:hAnsi="楷体" w:eastAsia="楷体"/>
          <w:sz w:val="24"/>
          <w:szCs w:val="24"/>
        </w:rPr>
      </w:pPr>
      <w:r>
        <w:rPr>
          <w:rFonts w:hint="eastAsia" w:ascii="楷体" w:hAnsi="楷体" w:eastAsia="楷体"/>
          <w:sz w:val="24"/>
          <w:szCs w:val="24"/>
        </w:rPr>
        <w:t>PTA供需：英力士110万吨，嘉兴石化150万吨检修，逸盛大化、逸盛新材料负荷9成偏上，他个别装置负荷零星有调整，至周四PTA负荷在79.4%（-3.2%）。从PTA平衡表来看，整体来看下半年PTA偏累库存格局。本周聚酯装置检修或者减产后陆续恢复，国内大陆地区聚酯负荷在87.7%附近，9月有望回到89%左右。检修增多供给端开工下滑旺季预期仍存，短线PTA价格随着宏观降息改善及油价企稳反弹。</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5" w:name="_Toc30739"/>
      <w:r>
        <w:rPr>
          <w:rFonts w:hint="eastAsia" w:ascii="Times New Roman" w:hAnsi="Times New Roman" w:eastAsia="楷体"/>
          <w:b/>
          <w:color w:val="000000" w:themeColor="text1"/>
          <w:sz w:val="24"/>
          <w:szCs w:val="24"/>
          <w14:textFill>
            <w14:solidFill>
              <w14:schemeClr w14:val="tx1"/>
            </w14:solidFill>
          </w14:textFill>
        </w:rPr>
        <w:t>乙二醇：供需格局尚可 受成本端提振走强</w:t>
      </w:r>
      <w:bookmarkEnd w:id="35"/>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9.9华东主港地区MEG港口库存约62.2万吨附近，环比上期-5.2万吨。乙二醇到港减少，主港显性库存去化明显。截至9月12日，中国大陆地区乙二醇整体开工负荷在63.56%（环比上期-0.77%），其中草酸催化加氢法（合成气）制乙二醇开工负荷在58.15%（-5.21%）。截至9月12日，国内大陆地区聚酯负荷在87.7%。终端来看，江浙终端开工继续小幅提升，截止9.6江浙下游加弹、织造、印染负荷分别在92%（+1%）、76%（+0%）、80%(+0%)。综合来看，去库+供给端开工下滑，9-10的旺季预期，乙二醇自身供需尚可，受成本端提振期价走强，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7024"/>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hint="eastAsia" w:ascii="楷体" w:hAnsi="楷体" w:eastAsia="楷体"/>
          <w:b/>
        </w:rPr>
      </w:pPr>
      <w:bookmarkStart w:id="37" w:name="_Toc1759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现货弱势未改，期价震荡偏弱</w:t>
      </w:r>
      <w:bookmarkEnd w:id="37"/>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延续弱势，主要原因在于市场对新作上市压力的担忧依然存在，这使得现货缺乏上涨驱动。在这种情况下，需要等待以下三个方面，其一是华北小麦能否转强，其二是中下游是否需要在新作上市之前被动补库，其三是市场对新作产量前景的担忧能否强化，继而引发对新作供需格局的乐观预期，带动中下游主动补库存。综上所述，我们维持中性观点，建议投资者暂以观望为宜。</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小幅收窄，主要原因有二，其一是原料成本即华北玉米现货持续弱势，其二是副产品价格受蛋白粕反弹带动多有止跌回升，但考虑到行业供需趋于改善即行业库存继续下滑，而副产品价格反弹空间或受限，再加上淀粉现货基差高企，而盘面生产利润为负，淀粉-玉米价差收窄空间或有限。综上所述，单边基于原料成本维持中性，建议投资者观望，套利层面则可以持有做扩淀粉-玉米价差。</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27877"/>
      <w:r>
        <w:rPr>
          <w:rFonts w:hint="eastAsia" w:ascii="楷体" w:hAnsi="楷体" w:eastAsia="楷体"/>
          <w:b/>
          <w:bCs/>
          <w:color w:val="000000" w:themeColor="text1"/>
          <w14:textFill>
            <w14:solidFill>
              <w14:schemeClr w14:val="tx1"/>
            </w14:solidFill>
          </w14:textFill>
        </w:rPr>
        <w:t>畜禽养殖：期价多震荡运行</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货盘面表现来看，整体延续近强远弱分化走势，这主要源于市场预期现货阶段性回落临近尾声，与6月中下旬的现货表现类似，进而预期接下来有望再度出现上涨行情。在理解盘面的基础上看，远月关注供需改善幅度及其饲料成本预期，考虑到远月期价贴近养殖成本，目前证伪难度较大；近月更多关注节奏，特别是生猪出栏恢复的进度与生猪出栏体重的变化，这里面需要跟过去两年做个比较，2022年更多源于市场压栏和新冠疫情，2023年更多源于非瘟疫情和资金链因素。与过去两年特别是2022年相比，农业农村部公布的2季度末生猪存栏量更低，而7月规模以上屠宰企业生猪屠宰量更高，加上涌益咨询公布的7-8月日度屠宰量亦高于2022年，因此，可以合理推算三季度供应压力显著低于2022年，这可以通过新生仔猪数量加以印证，因今年新生仔猪数量底部出现在3-4月，对应生猪出栏量大致在9-10月。综上所述，维持谨慎看多观点，建议谨慎投资者观望，激进投资者可以考虑轻仓入场做多2411合约。</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分析市场可以看出，当前市场纠结之处在于，一方面市场对远期供需宽松预期使得市场担心后期现货下跌，而这已经体现在远月期价深度贴水上，另一方面当前仍处于季节性旺季，且基差处于历史高位，这对期价特别是近月带来一定的支撑。考虑到旺季合约已经进入交割月，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综上所述，观点转为中性，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11703"/>
      <w:r>
        <w:rPr>
          <w:rFonts w:hint="eastAsia" w:ascii="楷体" w:hAnsi="楷体" w:eastAsia="楷体"/>
          <w:b/>
          <w:bCs/>
          <w:color w:val="000000" w:themeColor="text1"/>
          <w14:textFill>
            <w14:solidFill>
              <w14:schemeClr w14:val="tx1"/>
            </w14:solidFill>
          </w14:textFill>
        </w:rPr>
        <w:t>白糖：震荡整理</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由于巴西减产和印度解禁改变国际白糖供需，外盘止跌后反弹。隔日外盘纽约原糖主力合约和伦敦白砂糖主力合约分别上涨1.60%和2.06%。印度糖和生物能源制造商协会(ISMA)预计2024-25年度，总糖产量将从2023-24年度的3400万吨降至3330万吨。在考虑了400万吨乙醇分流量后，由于政府取消对糖转化为乙醇的上限，预计2024-25年度印度净糖产量将降至2930万吨。Czarnikow在圣保罗的一次活动中称，巴西中南部地区2024/25榨季糖产量料较此前预期下滑将近9%，受干燥天气和圣保罗州遭受的甘蔗田火灾影响。圣保罗州是巴西最大的甘蔗生产州。国内隔日夜盘，白糖主力01合约下跌0.05%。国内，台风影响广西和江浙区域，部分甘蔗田受到影响出现倒伏等现象。除广西之外，台风冲击越南主要甘蔗产区。新台风预计在中秋前后再次侵袭江浙地带，或将再次对该地区的甘蔗田地造成不利影响。天气风险事件冲击，国内白糖跳空高开后震荡，尝试冲击5700关口。</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3839"/>
      <w:r>
        <w:rPr>
          <w:rFonts w:hint="eastAsia" w:ascii="楷体" w:hAnsi="楷体" w:eastAsia="楷体"/>
          <w:b/>
          <w:bCs/>
          <w:color w:val="000000" w:themeColor="text1"/>
          <w14:textFill>
            <w14:solidFill>
              <w14:schemeClr w14:val="tx1"/>
            </w14:solidFill>
          </w14:textFill>
        </w:rPr>
        <w:t>棉花：预计郑棉震荡整理</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由于热带风暴弗朗辛的登陆，未来几天，预计路易斯安那州和密西西比州南部将有大量降水，随着风暴进一步向内陆移动，两州的主产棉区预计将有显著降水。因担忧降水阻碍收割，隔日外盘ICE美棉主力上涨1.18%，收复70关口。国内隔日夜盘，郑棉主力2501主力合约下跌0.30%。国内郑棉前两日跟随商品大盘和外盘反弹，尝试收复13500元/吨关口。短期内宏观因素依然是主导郑棉价格走势的主逻辑，密切关注美联储降息前后商品大盘表现。新棉上市时日逐步临近，初期预估收购价在5.5-6元/公斤，折合皮棉价格13500-14000元/吨附近。但期货价格对籽棉收购价有极强指导效果，届时收购价将极大程度参考9月末时的期货价格。</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0697"/>
      <w:r>
        <w:rPr>
          <w:rFonts w:hint="eastAsia" w:ascii="楷体" w:hAnsi="楷体" w:eastAsia="楷体"/>
          <w:b/>
          <w:bCs/>
          <w:color w:val="000000" w:themeColor="text1"/>
          <w14:textFill>
            <w14:solidFill>
              <w14:schemeClr w14:val="tx1"/>
            </w14:solidFill>
          </w14:textFill>
        </w:rPr>
        <w:t>蛋白粕：USDA最新数据调整不大，震荡运行</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1.12%，USDA公布9月供需数据，全球大豆产量略有上调，但各项数据基本在预估范围内，没有重大利空；豆粕预估数据均无调整。国内昨日夜盘豆二跟随美豆上涨，涨幅0.34%，菜籽下跌0.06%；豆粕下跌0.26%，菜粕上涨0.04%。整体表现为震荡，菜粕强于豆粕。后续处于南美种植生长期以及美豆出口窗口期，目前巴西干旱天气对丰产预期有所减少。总体来说，短期对豆粕维持区间震荡观点。但目前豆粕处于去库阶段，美豆磨底向上修复，因此对后市豆粕走势并不悲观，菜粕受此影响，亦有上涨空间，长期看多。</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10086"/>
      <w:r>
        <w:rPr>
          <w:rFonts w:hint="eastAsia" w:ascii="楷体" w:hAnsi="楷体" w:eastAsia="楷体"/>
          <w:b/>
          <w:bCs/>
          <w:color w:val="000000" w:themeColor="text1"/>
          <w14:textFill>
            <w14:solidFill>
              <w14:schemeClr w14:val="tx1"/>
            </w14:solidFill>
          </w14:textFill>
        </w:rPr>
        <w:t>油脂类：原油带动及旺季到来，油脂表现偏强</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0.86%，菜油上涨0.88%，棕油上涨0.64%。此前飓风影响带动原油上升，油脂跟随。据印度溶剂萃取商协会(SEA)公布的数据显示,印度8月棕榈油进口量环比下降25%，因国内库存充裕且精炼利润为负值，需求转向豆油。印度是全球最大的植物油进口国，印度植物油进口量下降可能导致棕榈油主产国印尼和马来西亚的棕榈油库存增加，给马棕油期价带来压力。国内方面，双节备货带动下，上周三大油脂库存均有下滑，其中豆油受与棕榈油和菜油之间的价差支撑，替代性消费较多，但油厂压榨开机维持高位，豆油和菜油供给依旧充足，短期仍震荡运行。后续棕榈油需求季节性下滑，而菜油可能受到原料端供给转紧的预期支撑，因此豆油作为最具性价比油脂，消费预期偏强。</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3" w:name="_Toc10206"/>
      <w:r>
        <w:rPr>
          <w:rFonts w:hint="eastAsia" w:ascii="Times New Roman" w:hAnsi="Times New Roman" w:eastAsia="楷体"/>
          <w:b/>
          <w:color w:val="823C0B"/>
          <w:sz w:val="30"/>
          <w:szCs w:val="30"/>
        </w:rPr>
        <w:t>[指数]</w:t>
      </w:r>
      <w:bookmarkEnd w:id="43"/>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4" w:name="_Toc20685"/>
      <w:r>
        <w:rPr>
          <w:rFonts w:hint="eastAsia" w:ascii="Times New Roman" w:hAnsi="Times New Roman" w:eastAsia="楷体"/>
          <w:b/>
          <w:color w:val="000000" w:themeColor="text1"/>
          <w:sz w:val="24"/>
          <w:szCs w:val="24"/>
          <w14:textFill>
            <w14:solidFill>
              <w14:schemeClr w14:val="tx1"/>
            </w14:solidFill>
          </w14:textFill>
        </w:rPr>
        <w:t>集运指数（欧线）：情绪修复超跌反弹，期价上涨</w:t>
      </w:r>
      <w:bookmarkEnd w:id="44"/>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涨4.35%至1820.2。盘面情绪修复，期价超跌反弹。下周现舱均价略微下调至约4720美元，下下周现舱均价约4680美元。韩国班轮公司韩新海运（HMM）披露中长期战略，到2030年，HMM将投资不低于23.5万亿韩元（175亿美元），扩大船队以及加强航运、物流基础设施；预计到2030年，HMM集装箱船运力将增长到130艘155万TEU。现货运价承压维持下调趋势，国庆假期航司停航约12艘次，基本持平往年，期价宽幅震荡，留意短期波动加剧的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5" w:name="_Toc98426751"/>
      <w:bookmarkStart w:id="46" w:name="_Toc71212556"/>
      <w:bookmarkStart w:id="47" w:name="_Toc19667"/>
      <w:bookmarkStart w:id="48" w:name="_Toc72481108"/>
      <w:bookmarkStart w:id="49" w:name="_Toc12779"/>
      <w:r>
        <w:rPr>
          <w:rFonts w:ascii="Times New Roman" w:hAnsi="Times New Roman" w:eastAsia="楷体"/>
          <w:b/>
          <w:color w:val="411D05"/>
          <w:sz w:val="30"/>
          <w:szCs w:val="30"/>
        </w:rPr>
        <w:t>免责声明</w:t>
      </w:r>
      <w:bookmarkEnd w:id="45"/>
      <w:bookmarkEnd w:id="46"/>
      <w:bookmarkEnd w:id="47"/>
      <w:bookmarkEnd w:id="48"/>
      <w:bookmarkEnd w:id="49"/>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2024年9月13日星期五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2C758E"/>
    <w:rsid w:val="3F345DBE"/>
    <w:rsid w:val="40164730"/>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A7219A6"/>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2024-09-13T03:15:31Z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