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0" w:name="_GoBack"/>
          <w:bookmarkEnd w:id="50"/>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_Toc9475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_Toc4442 </w:instrText>
          </w:r>
          <w:r>
            <w:rPr>
              <w:bCs/>
            </w:rPr>
            <w:fldChar w:fldCharType="separate"/>
          </w:r>
          <w:r>
            <w:rPr>
              <w:rFonts w:hint="eastAsia" w:ascii="Times New Roman" w:hAnsi="Times New Roman" w:eastAsia="楷体"/>
              <w:szCs w:val="24"/>
            </w:rPr>
            <w:t>股指：弱势震荡</w:t>
          </w:r>
          <w:r>
            <w:rPr>
              <w:bCs/>
            </w:rPr>
            <w:fldChar w:fldCharType="end"/>
          </w:r>
        </w:p>
        <w:p>
          <w:pPr>
            <w:pStyle w:val="59"/>
            <w:tabs>
              <w:tab w:val="right" w:leader="dot" w:pos="8306"/>
            </w:tabs>
          </w:pPr>
          <w:r>
            <w:rPr>
              <w:bCs/>
            </w:rPr>
            <w:fldChar w:fldCharType="begin"/>
          </w:r>
          <w:r>
            <w:rPr>
              <w:bCs/>
            </w:rPr>
            <w:instrText xml:space="preserve"> HYPERLINK \l _Toc16326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_Toc11419 </w:instrText>
          </w:r>
          <w:r>
            <w:rPr>
              <w:bCs/>
            </w:rPr>
            <w:fldChar w:fldCharType="separate"/>
          </w:r>
          <w:r>
            <w:rPr>
              <w:rFonts w:hint="eastAsia" w:ascii="Times New Roman" w:hAnsi="Times New Roman" w:eastAsia="楷体"/>
              <w:szCs w:val="24"/>
            </w:rPr>
            <w:t>贵金属：美国CPI同比创三年来新低，沪银小幅反弹</w:t>
          </w:r>
          <w:r>
            <w:rPr>
              <w:bCs/>
            </w:rPr>
            <w:fldChar w:fldCharType="end"/>
          </w:r>
        </w:p>
        <w:p>
          <w:pPr>
            <w:pStyle w:val="59"/>
            <w:tabs>
              <w:tab w:val="right" w:leader="dot" w:pos="8306"/>
            </w:tabs>
          </w:pPr>
          <w:r>
            <w:rPr>
              <w:bCs/>
            </w:rPr>
            <w:fldChar w:fldCharType="begin"/>
          </w:r>
          <w:r>
            <w:rPr>
              <w:bCs/>
            </w:rPr>
            <w:instrText xml:space="preserve"> HYPERLINK \l _Toc18045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_Toc15780 </w:instrText>
          </w:r>
          <w:r>
            <w:rPr>
              <w:bCs/>
            </w:rPr>
            <w:fldChar w:fldCharType="separate"/>
          </w:r>
          <w:r>
            <w:rPr>
              <w:rFonts w:hint="eastAsia" w:ascii="楷体" w:hAnsi="楷体" w:eastAsia="楷体"/>
              <w:szCs w:val="24"/>
            </w:rPr>
            <w:t>碳酸锂：停产检修等消息频发，期价大幅上涨</w:t>
          </w:r>
          <w:r>
            <w:rPr>
              <w:bCs/>
            </w:rPr>
            <w:fldChar w:fldCharType="end"/>
          </w:r>
        </w:p>
        <w:p>
          <w:pPr>
            <w:pStyle w:val="74"/>
            <w:tabs>
              <w:tab w:val="right" w:leader="dot" w:pos="8306"/>
            </w:tabs>
          </w:pPr>
          <w:r>
            <w:rPr>
              <w:bCs/>
            </w:rPr>
            <w:fldChar w:fldCharType="begin"/>
          </w:r>
          <w:r>
            <w:rPr>
              <w:bCs/>
            </w:rPr>
            <w:instrText xml:space="preserve"> HYPERLINK \l _Toc6135 </w:instrText>
          </w:r>
          <w:r>
            <w:rPr>
              <w:bCs/>
            </w:rPr>
            <w:fldChar w:fldCharType="separate"/>
          </w:r>
          <w:r>
            <w:rPr>
              <w:rFonts w:hint="eastAsia" w:ascii="楷体" w:hAnsi="楷体" w:eastAsia="楷体"/>
              <w:szCs w:val="24"/>
            </w:rPr>
            <w:t>铝：铝价反弹偏强震荡运行</w:t>
          </w:r>
          <w:r>
            <w:rPr>
              <w:bCs/>
            </w:rPr>
            <w:fldChar w:fldCharType="end"/>
          </w:r>
        </w:p>
        <w:p>
          <w:pPr>
            <w:pStyle w:val="74"/>
            <w:tabs>
              <w:tab w:val="right" w:leader="dot" w:pos="8306"/>
            </w:tabs>
          </w:pPr>
          <w:r>
            <w:rPr>
              <w:bCs/>
            </w:rPr>
            <w:fldChar w:fldCharType="begin"/>
          </w:r>
          <w:r>
            <w:rPr>
              <w:bCs/>
            </w:rPr>
            <w:instrText xml:space="preserve"> HYPERLINK \l _Toc24347 </w:instrText>
          </w:r>
          <w:r>
            <w:rPr>
              <w:bCs/>
            </w:rPr>
            <w:fldChar w:fldCharType="separate"/>
          </w:r>
          <w:r>
            <w:rPr>
              <w:rFonts w:hint="eastAsia" w:ascii="楷体" w:hAnsi="楷体" w:eastAsia="楷体"/>
              <w:szCs w:val="24"/>
            </w:rPr>
            <w:t>锌：锌价盘整反弹</w:t>
          </w:r>
          <w:r>
            <w:rPr>
              <w:bCs/>
            </w:rPr>
            <w:fldChar w:fldCharType="end"/>
          </w:r>
        </w:p>
        <w:p>
          <w:pPr>
            <w:pStyle w:val="74"/>
            <w:tabs>
              <w:tab w:val="right" w:leader="dot" w:pos="8306"/>
            </w:tabs>
          </w:pPr>
          <w:r>
            <w:rPr>
              <w:bCs/>
            </w:rPr>
            <w:fldChar w:fldCharType="begin"/>
          </w:r>
          <w:r>
            <w:rPr>
              <w:bCs/>
            </w:rPr>
            <w:instrText xml:space="preserve"> HYPERLINK \l _Toc1802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：震荡偏强</w:t>
          </w:r>
          <w:r>
            <w:rPr>
              <w:bCs/>
            </w:rPr>
            <w:fldChar w:fldCharType="end"/>
          </w:r>
        </w:p>
        <w:p>
          <w:pPr>
            <w:pStyle w:val="74"/>
            <w:tabs>
              <w:tab w:val="right" w:leader="dot" w:pos="8306"/>
            </w:tabs>
          </w:pPr>
          <w:r>
            <w:rPr>
              <w:bCs/>
            </w:rPr>
            <w:fldChar w:fldCharType="begin"/>
          </w:r>
          <w:r>
            <w:rPr>
              <w:bCs/>
            </w:rPr>
            <w:instrText xml:space="preserve"> HYPERLINK \l _Toc22555 </w:instrText>
          </w:r>
          <w:r>
            <w:rPr>
              <w:bCs/>
            </w:rPr>
            <w:fldChar w:fldCharType="separate"/>
          </w:r>
          <w:r>
            <w:rPr>
              <w:rFonts w:hint="eastAsia" w:ascii="楷体" w:hAnsi="楷体" w:eastAsia="楷体"/>
              <w:szCs w:val="24"/>
            </w:rPr>
            <w:t>镍：库存趋势性累库，预计震荡偏弱为主</w:t>
          </w:r>
          <w:r>
            <w:rPr>
              <w:bCs/>
            </w:rPr>
            <w:fldChar w:fldCharType="end"/>
          </w:r>
        </w:p>
        <w:p>
          <w:pPr>
            <w:pStyle w:val="74"/>
            <w:tabs>
              <w:tab w:val="right" w:leader="dot" w:pos="8306"/>
            </w:tabs>
          </w:pPr>
          <w:r>
            <w:rPr>
              <w:bCs/>
            </w:rPr>
            <w:fldChar w:fldCharType="begin"/>
          </w:r>
          <w:r>
            <w:rPr>
              <w:bCs/>
            </w:rPr>
            <w:instrText xml:space="preserve"> HYPERLINK \l _Toc1918 </w:instrText>
          </w:r>
          <w:r>
            <w:rPr>
              <w:bCs/>
            </w:rPr>
            <w:fldChar w:fldCharType="separate"/>
          </w:r>
          <w:r>
            <w:rPr>
              <w:rFonts w:hint="eastAsia" w:ascii="楷体" w:hAnsi="楷体" w:eastAsia="楷体"/>
              <w:szCs w:val="24"/>
            </w:rPr>
            <w:t>不锈钢：低估值弱驱动，等待供需实际改善</w:t>
          </w:r>
          <w:r>
            <w:rPr>
              <w:bCs/>
            </w:rPr>
            <w:fldChar w:fldCharType="end"/>
          </w:r>
        </w:p>
        <w:p>
          <w:pPr>
            <w:pStyle w:val="74"/>
            <w:tabs>
              <w:tab w:val="right" w:leader="dot" w:pos="8306"/>
            </w:tabs>
          </w:pPr>
          <w:r>
            <w:rPr>
              <w:bCs/>
            </w:rPr>
            <w:fldChar w:fldCharType="begin"/>
          </w:r>
          <w:r>
            <w:rPr>
              <w:bCs/>
            </w:rPr>
            <w:instrText xml:space="preserve"> HYPERLINK \l _Toc23040 </w:instrText>
          </w:r>
          <w:r>
            <w:rPr>
              <w:bCs/>
            </w:rPr>
            <w:fldChar w:fldCharType="separate"/>
          </w:r>
          <w:r>
            <w:rPr>
              <w:rFonts w:hint="eastAsia" w:ascii="楷体" w:hAnsi="楷体" w:eastAsia="楷体"/>
              <w:szCs w:val="24"/>
            </w:rPr>
            <w:t>工业硅：无明显单边驱动，以低位震荡对待</w:t>
          </w:r>
          <w:r>
            <w:rPr>
              <w:bCs/>
            </w:rPr>
            <w:fldChar w:fldCharType="end"/>
          </w:r>
        </w:p>
        <w:p>
          <w:pPr>
            <w:pStyle w:val="74"/>
            <w:tabs>
              <w:tab w:val="right" w:leader="dot" w:pos="8306"/>
            </w:tabs>
          </w:pPr>
          <w:r>
            <w:rPr>
              <w:bCs/>
            </w:rPr>
            <w:fldChar w:fldCharType="begin"/>
          </w:r>
          <w:r>
            <w:rPr>
              <w:bCs/>
            </w:rPr>
            <w:instrText xml:space="preserve"> HYPERLINK \l _Toc10027 </w:instrText>
          </w:r>
          <w:r>
            <w:rPr>
              <w:bCs/>
            </w:rPr>
            <w:fldChar w:fldCharType="separate"/>
          </w:r>
          <w:r>
            <w:rPr>
              <w:rFonts w:hint="eastAsia" w:ascii="楷体" w:hAnsi="楷体" w:eastAsia="楷体"/>
              <w:szCs w:val="24"/>
            </w:rPr>
            <w:t>螺纹钢：铁水有所回升，关注旺季需求变化</w:t>
          </w:r>
          <w:r>
            <w:rPr>
              <w:bCs/>
            </w:rPr>
            <w:fldChar w:fldCharType="end"/>
          </w:r>
        </w:p>
        <w:p>
          <w:pPr>
            <w:pStyle w:val="59"/>
            <w:tabs>
              <w:tab w:val="right" w:leader="dot" w:pos="8306"/>
            </w:tabs>
          </w:pPr>
          <w:r>
            <w:rPr>
              <w:bCs/>
            </w:rPr>
            <w:fldChar w:fldCharType="begin"/>
          </w:r>
          <w:r>
            <w:rPr>
              <w:bCs/>
            </w:rPr>
            <w:instrText xml:space="preserve"> HYPERLINK \l _Toc32133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_Toc23833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台风天气利好消退 天胶价格区间震荡</w:t>
          </w:r>
          <w:r>
            <w:rPr>
              <w:bCs/>
            </w:rPr>
            <w:fldChar w:fldCharType="end"/>
          </w:r>
        </w:p>
        <w:p>
          <w:pPr>
            <w:pStyle w:val="74"/>
            <w:tabs>
              <w:tab w:val="right" w:leader="dot" w:pos="8306"/>
            </w:tabs>
          </w:pPr>
          <w:r>
            <w:rPr>
              <w:bCs/>
            </w:rPr>
            <w:fldChar w:fldCharType="begin"/>
          </w:r>
          <w:r>
            <w:rPr>
              <w:bCs/>
            </w:rPr>
            <w:instrText xml:space="preserve"> HYPERLINK \l _Toc481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_Toc18094 </w:instrText>
          </w:r>
          <w:r>
            <w:rPr>
              <w:bCs/>
            </w:rPr>
            <w:fldChar w:fldCharType="separate"/>
          </w:r>
          <w:r>
            <w:rPr>
              <w:rFonts w:hint="eastAsia" w:ascii="Times New Roman" w:hAnsi="Times New Roman" w:eastAsia="楷体"/>
              <w:szCs w:val="24"/>
            </w:rPr>
            <w:t>原油：风暴与数据双重影响，原油期货波动反弹</w:t>
          </w:r>
          <w:r>
            <w:rPr>
              <w:bCs/>
            </w:rPr>
            <w:fldChar w:fldCharType="end"/>
          </w:r>
        </w:p>
        <w:p>
          <w:pPr>
            <w:pStyle w:val="74"/>
            <w:tabs>
              <w:tab w:val="right" w:leader="dot" w:pos="8306"/>
            </w:tabs>
          </w:pPr>
          <w:r>
            <w:rPr>
              <w:bCs/>
            </w:rPr>
            <w:fldChar w:fldCharType="begin"/>
          </w:r>
          <w:r>
            <w:rPr>
              <w:bCs/>
            </w:rPr>
            <w:instrText xml:space="preserve"> HYPERLINK \l _Toc9673 </w:instrText>
          </w:r>
          <w:r>
            <w:rPr>
              <w:bCs/>
            </w:rPr>
            <w:fldChar w:fldCharType="separate"/>
          </w:r>
          <w:r>
            <w:rPr>
              <w:rFonts w:hint="eastAsia" w:ascii="Times New Roman" w:hAnsi="Times New Roman" w:eastAsia="楷体"/>
              <w:szCs w:val="24"/>
            </w:rPr>
            <w:t>燃料油及低硫燃料油：燃料油期货分化，市场氛围谨慎</w:t>
          </w:r>
          <w:r>
            <w:rPr>
              <w:bCs/>
            </w:rPr>
            <w:fldChar w:fldCharType="end"/>
          </w:r>
        </w:p>
        <w:p>
          <w:pPr>
            <w:pStyle w:val="74"/>
            <w:tabs>
              <w:tab w:val="right" w:leader="dot" w:pos="8306"/>
            </w:tabs>
          </w:pPr>
          <w:r>
            <w:rPr>
              <w:bCs/>
            </w:rPr>
            <w:fldChar w:fldCharType="begin"/>
          </w:r>
          <w:r>
            <w:rPr>
              <w:bCs/>
            </w:rPr>
            <w:instrText xml:space="preserve"> HYPERLINK \l _Toc27427 </w:instrText>
          </w:r>
          <w:r>
            <w:rPr>
              <w:bCs/>
            </w:rPr>
            <w:fldChar w:fldCharType="separate"/>
          </w:r>
          <w:r>
            <w:rPr>
              <w:rFonts w:hint="eastAsia" w:ascii="Times New Roman" w:hAnsi="Times New Roman" w:eastAsia="楷体"/>
              <w:szCs w:val="24"/>
            </w:rPr>
            <w:t>沥青：沥青期货温和回升，市场供需调整中</w:t>
          </w:r>
          <w:r>
            <w:rPr>
              <w:bCs/>
            </w:rPr>
            <w:fldChar w:fldCharType="end"/>
          </w:r>
        </w:p>
        <w:p>
          <w:pPr>
            <w:pStyle w:val="74"/>
            <w:tabs>
              <w:tab w:val="right" w:leader="dot" w:pos="8306"/>
            </w:tabs>
          </w:pPr>
          <w:r>
            <w:rPr>
              <w:bCs/>
            </w:rPr>
            <w:fldChar w:fldCharType="begin"/>
          </w:r>
          <w:r>
            <w:rPr>
              <w:bCs/>
            </w:rPr>
            <w:instrText xml:space="preserve"> HYPERLINK \l _Toc29055 </w:instrText>
          </w:r>
          <w:r>
            <w:rPr>
              <w:bCs/>
            </w:rPr>
            <w:fldChar w:fldCharType="separate"/>
          </w:r>
          <w:r>
            <w:rPr>
              <w:rFonts w:hint="eastAsia" w:ascii="Times New Roman" w:hAnsi="Times New Roman" w:eastAsia="楷体"/>
              <w:szCs w:val="24"/>
            </w:rPr>
            <w:t>PTA：宏观&amp;油价趋弱 聚酯走势偏空</w:t>
          </w:r>
          <w:r>
            <w:rPr>
              <w:bCs/>
            </w:rPr>
            <w:fldChar w:fldCharType="end"/>
          </w:r>
        </w:p>
        <w:p>
          <w:pPr>
            <w:pStyle w:val="74"/>
            <w:tabs>
              <w:tab w:val="right" w:leader="dot" w:pos="8306"/>
            </w:tabs>
          </w:pPr>
          <w:r>
            <w:rPr>
              <w:bCs/>
            </w:rPr>
            <w:fldChar w:fldCharType="begin"/>
          </w:r>
          <w:r>
            <w:rPr>
              <w:bCs/>
            </w:rPr>
            <w:instrText xml:space="preserve"> HYPERLINK \l _Toc8159 </w:instrText>
          </w:r>
          <w:r>
            <w:rPr>
              <w:bCs/>
            </w:rPr>
            <w:fldChar w:fldCharType="separate"/>
          </w:r>
          <w:r>
            <w:rPr>
              <w:rFonts w:hint="eastAsia" w:ascii="Times New Roman" w:hAnsi="Times New Roman" w:eastAsia="楷体"/>
              <w:szCs w:val="24"/>
            </w:rPr>
            <w:t>乙二醇：跟随成本端补跌 期价偏弱</w:t>
          </w:r>
          <w:r>
            <w:rPr>
              <w:bCs/>
            </w:rPr>
            <w:fldChar w:fldCharType="end"/>
          </w:r>
        </w:p>
        <w:p>
          <w:pPr>
            <w:pStyle w:val="59"/>
            <w:tabs>
              <w:tab w:val="right" w:leader="dot" w:pos="8306"/>
            </w:tabs>
          </w:pPr>
          <w:r>
            <w:rPr>
              <w:bCs/>
            </w:rPr>
            <w:fldChar w:fldCharType="begin"/>
          </w:r>
          <w:r>
            <w:rPr>
              <w:bCs/>
            </w:rPr>
            <w:instrText xml:space="preserve"> HYPERLINK \l _Toc16980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_Toc15463 </w:instrText>
          </w:r>
          <w:r>
            <w:rPr>
              <w:bCs/>
            </w:rPr>
            <w:fldChar w:fldCharType="separate"/>
          </w:r>
          <w:r>
            <w:rPr>
              <w:rFonts w:hint="eastAsia" w:ascii="楷体" w:hAnsi="楷体" w:eastAsia="楷体"/>
              <w:bCs/>
            </w:rPr>
            <w:t>玉米与淀粉：</w:t>
          </w:r>
          <w:r>
            <w:rPr>
              <w:rFonts w:hint="eastAsia" w:ascii="楷体" w:hAnsi="楷体" w:eastAsia="楷体"/>
            </w:rPr>
            <w:t>现货延续跌势，期价低位反弹</w:t>
          </w:r>
          <w:r>
            <w:rPr>
              <w:bCs/>
            </w:rPr>
            <w:fldChar w:fldCharType="end"/>
          </w:r>
        </w:p>
        <w:p>
          <w:pPr>
            <w:pStyle w:val="74"/>
            <w:tabs>
              <w:tab w:val="right" w:leader="dot" w:pos="8306"/>
            </w:tabs>
          </w:pPr>
          <w:r>
            <w:rPr>
              <w:bCs/>
            </w:rPr>
            <w:fldChar w:fldCharType="begin"/>
          </w:r>
          <w:r>
            <w:rPr>
              <w:bCs/>
            </w:rPr>
            <w:instrText xml:space="preserve"> HYPERLINK \l _Toc11083 </w:instrText>
          </w:r>
          <w:r>
            <w:rPr>
              <w:bCs/>
            </w:rPr>
            <w:fldChar w:fldCharType="separate"/>
          </w:r>
          <w:r>
            <w:rPr>
              <w:rFonts w:hint="eastAsia" w:ascii="楷体" w:hAnsi="楷体" w:eastAsia="楷体"/>
              <w:bCs/>
            </w:rPr>
            <w:t>畜禽养殖：生猪期价继续跌势</w:t>
          </w:r>
          <w:r>
            <w:rPr>
              <w:bCs/>
            </w:rPr>
            <w:fldChar w:fldCharType="end"/>
          </w:r>
        </w:p>
        <w:p>
          <w:pPr>
            <w:pStyle w:val="74"/>
            <w:tabs>
              <w:tab w:val="right" w:leader="dot" w:pos="8306"/>
            </w:tabs>
          </w:pPr>
          <w:r>
            <w:rPr>
              <w:bCs/>
            </w:rPr>
            <w:fldChar w:fldCharType="begin"/>
          </w:r>
          <w:r>
            <w:rPr>
              <w:bCs/>
            </w:rPr>
            <w:instrText xml:space="preserve"> HYPERLINK \l _Toc765 </w:instrText>
          </w:r>
          <w:r>
            <w:rPr>
              <w:bCs/>
            </w:rPr>
            <w:fldChar w:fldCharType="separate"/>
          </w:r>
          <w:r>
            <w:rPr>
              <w:rFonts w:hint="eastAsia" w:ascii="楷体" w:hAnsi="楷体" w:eastAsia="楷体"/>
              <w:bCs/>
            </w:rPr>
            <w:t>白糖：震荡偏强</w:t>
          </w:r>
          <w:r>
            <w:rPr>
              <w:bCs/>
            </w:rPr>
            <w:fldChar w:fldCharType="end"/>
          </w:r>
        </w:p>
        <w:p>
          <w:pPr>
            <w:pStyle w:val="74"/>
            <w:tabs>
              <w:tab w:val="right" w:leader="dot" w:pos="8306"/>
            </w:tabs>
          </w:pPr>
          <w:r>
            <w:rPr>
              <w:bCs/>
            </w:rPr>
            <w:fldChar w:fldCharType="begin"/>
          </w:r>
          <w:r>
            <w:rPr>
              <w:bCs/>
            </w:rPr>
            <w:instrText xml:space="preserve"> HYPERLINK \l _Toc7099 </w:instrText>
          </w:r>
          <w:r>
            <w:rPr>
              <w:bCs/>
            </w:rPr>
            <w:fldChar w:fldCharType="separate"/>
          </w:r>
          <w:r>
            <w:rPr>
              <w:rFonts w:hint="eastAsia" w:ascii="楷体" w:hAnsi="楷体" w:eastAsia="楷体"/>
              <w:bCs/>
            </w:rPr>
            <w:t>棉花：预计郑棉震荡整理，空单继续持有</w:t>
          </w:r>
          <w:r>
            <w:rPr>
              <w:bCs/>
            </w:rPr>
            <w:fldChar w:fldCharType="end"/>
          </w:r>
        </w:p>
        <w:p>
          <w:pPr>
            <w:pStyle w:val="74"/>
            <w:tabs>
              <w:tab w:val="right" w:leader="dot" w:pos="8306"/>
            </w:tabs>
          </w:pPr>
          <w:r>
            <w:rPr>
              <w:bCs/>
            </w:rPr>
            <w:fldChar w:fldCharType="begin"/>
          </w:r>
          <w:r>
            <w:rPr>
              <w:bCs/>
            </w:rPr>
            <w:instrText xml:space="preserve"> HYPERLINK \l _Toc2866 </w:instrText>
          </w:r>
          <w:r>
            <w:rPr>
              <w:bCs/>
            </w:rPr>
            <w:fldChar w:fldCharType="separate"/>
          </w:r>
          <w:r>
            <w:rPr>
              <w:rFonts w:hint="eastAsia" w:ascii="楷体" w:hAnsi="楷体" w:eastAsia="楷体"/>
              <w:bCs/>
            </w:rPr>
            <w:t>蛋白粕：整体震荡运行，菜粕表现较强</w:t>
          </w:r>
          <w:r>
            <w:rPr>
              <w:bCs/>
            </w:rPr>
            <w:fldChar w:fldCharType="end"/>
          </w:r>
        </w:p>
        <w:p>
          <w:pPr>
            <w:pStyle w:val="74"/>
            <w:tabs>
              <w:tab w:val="right" w:leader="dot" w:pos="8306"/>
            </w:tabs>
          </w:pPr>
          <w:r>
            <w:rPr>
              <w:bCs/>
            </w:rPr>
            <w:fldChar w:fldCharType="begin"/>
          </w:r>
          <w:r>
            <w:rPr>
              <w:bCs/>
            </w:rPr>
            <w:instrText xml:space="preserve"> HYPERLINK \l _Toc1064 </w:instrText>
          </w:r>
          <w:r>
            <w:rPr>
              <w:bCs/>
            </w:rPr>
            <w:fldChar w:fldCharType="separate"/>
          </w:r>
          <w:r>
            <w:rPr>
              <w:rFonts w:hint="eastAsia" w:ascii="楷体" w:hAnsi="楷体" w:eastAsia="楷体"/>
              <w:bCs/>
            </w:rPr>
            <w:t>油脂类：需求好转但供应依旧充足，短期震荡</w:t>
          </w:r>
          <w:r>
            <w:rPr>
              <w:bCs/>
            </w:rPr>
            <w:fldChar w:fldCharType="end"/>
          </w:r>
        </w:p>
        <w:p>
          <w:pPr>
            <w:pStyle w:val="59"/>
            <w:tabs>
              <w:tab w:val="right" w:leader="dot" w:pos="8306"/>
            </w:tabs>
          </w:pPr>
          <w:r>
            <w:rPr>
              <w:bCs/>
            </w:rPr>
            <w:fldChar w:fldCharType="begin"/>
          </w:r>
          <w:r>
            <w:rPr>
              <w:bCs/>
            </w:rPr>
            <w:instrText xml:space="preserve"> HYPERLINK \l _Toc9707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_Toc12962 </w:instrText>
          </w:r>
          <w:r>
            <w:rPr>
              <w:bCs/>
            </w:rPr>
            <w:fldChar w:fldCharType="separate"/>
          </w:r>
          <w:r>
            <w:rPr>
              <w:rFonts w:hint="eastAsia" w:ascii="Times New Roman" w:hAnsi="Times New Roman" w:eastAsia="楷体"/>
              <w:szCs w:val="24"/>
            </w:rPr>
            <w:t>集运指数（欧线）：盘面悲观情绪有所修复，期价大幅反弹</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9475"/>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4442"/>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弱势震荡</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国8月总体CPI放缓，但核心CPI环比连续第二个月反弹，显示通胀粘性仍在，美联储9月降息50bp的预期大幅走低，意味着当前市场对于大幅降息的定价可能过度激进，未来存在调整风险。近日A股市场再度走弱，各指数盘中一度创新低，但在资金护盘下时有反抽，出现结构性行情，但整体来看，A股继续面临基本面偏弱及稳增长政策路径的不确定性，9月中下旬双节效应或影响资金的交投意愿，对A股流动性仍是一大考验。</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6326"/>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11419"/>
      <w:r>
        <w:rPr>
          <w:rFonts w:hint="eastAsia" w:ascii="Times New Roman" w:hAnsi="Times New Roman" w:eastAsia="楷体"/>
          <w:b/>
          <w:color w:val="000000" w:themeColor="text1"/>
          <w:sz w:val="24"/>
          <w:szCs w:val="24"/>
          <w14:textFill>
            <w14:solidFill>
              <w14:schemeClr w14:val="tx1"/>
            </w14:solidFill>
          </w14:textFill>
        </w:rPr>
        <w:t>贵金属：美国CPI同比创三年来新低，沪银小幅反弹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微跌0.06%至574.08元/克，沪银涨1.48%至7135元/千克。美国8月CPI同比增2.5%，较前值2.9%明显下降，为连续第五个月放缓，创得三年来最低水平，环比上涨0.2%，持平预期和前值。核心CPI同比增3.2%，较前值持平，连续四个月放缓，环比增0.3%，略高于预期和前值的0.2%，为四个月来最大涨幅。美国CPI通胀下行，核心通胀维持粘性，9月美联储降息50bp的预期有所降温，美联储官员表态偏鸽，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20891"/>
      <w:bookmarkStart w:id="11" w:name="_Toc3096"/>
      <w:bookmarkStart w:id="12" w:name="金属"/>
      <w:bookmarkStart w:id="13" w:name="_Toc18045"/>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5780"/>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碳酸锂：停产检修等消息频发，期价大幅上涨</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消息面利多因素刺激，昨日期价大幅上涨，11合约涨7.91%至78450元/吨。市场传闻宁德时代宜春锂矿山有减停产计划，冶炼厂未见减停产，后续关注相关动向，若完全停产后续或影响碳酸锂约每月5千吨的供应量。9月11日，九岭锂业公告，旗下春友锂业的矿山进行为期15日停产检修工作，九宇选矿厂进行为期10日停产检修工作。9月11日，雅保公司电池级碳酸锂竞标活动结束，本次为吉诚锂业所产200吨碳酸锂招标，中标价格为75008元/吨。锂盐企业面临产能出清压力，头部企业接连计划停产检修等事宜，后续锂盐供应量存在削减预期，消息面因素影响下期价波动或加剧，建议暂以观望为主，持续关注下游传统旺季备库需求释放情况。</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6135"/>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铝价反弹偏强震荡运行</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情绪影响未退，交投市场成交疲软，对有色价格形成压制，美联储降息是9月宏观情绪有效提振的重要利好。单从沪铝基本面来看，铝土矿紧缺问题短期内难以扭转，几内亚在9-10月矿产出港情况或因雨季影响持续困难，氧化铝价格高位难跌为沪铝提供成本支撑，电解铝冶炼开产高位，下游需求进入旺季消费，库存出现去库拐头信号，铝价万九上下盘整后出现反弹，供应高位叠加需求疲软仍为反弹高度限制项，上看19600-19800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4347"/>
      <w:r>
        <w:rPr>
          <w:rFonts w:hint="eastAsia" w:ascii="楷体" w:hAnsi="楷体" w:eastAsia="楷体"/>
          <w:b/>
          <w:color w:val="000000" w:themeColor="text1"/>
          <w:sz w:val="24"/>
          <w:szCs w:val="24"/>
          <w14:textFill>
            <w14:solidFill>
              <w14:schemeClr w14:val="tx1"/>
            </w14:solidFill>
          </w14:textFill>
        </w:rPr>
        <w:t>锌：锌价盘整反弹</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全球经济衰退担忧情绪未退，市场等待美联储降息落地刺激，宏观情绪承压影响盘面。矿端紧缺矛盾依旧，海外Oz矿复产但近期向国内快速补充可能较小，中游冶炼利润小有修复但保持负反馈状态，后续精炼锌冶炼仍有压力减停产，进入旺季下游需求表现疲软，钢板消费低迷拖累镀锌消费，氧化锌、锌合金消费仍有韧性，库存保持去库节奏，锌价盘整后小幅反弹，暂看23400-23600反弹上方高度。</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802"/>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：震荡偏强</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8月CPI同比上涨2.5%持平预期，较前值2.9%明显下降，为连续第五个月放缓，环比上涨0.2%，持平预期和前值。核心CPI同比上涨3.2%持平预期和前值，此前已经连续四个月放缓，环比上涨0.3%，略高于预期和前值的0.2%，为四个月来最大涨幅。</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(2)库存：9月11日，SHFE仓单库存102062吨，减5387吨；LME仓单库存314950吨，减1225吨。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(3)精废价差：9月10日，Mysteel精废价差966，收窄190。目前价差在合理价差1424之下。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美国8月CPI通胀延续下行，核心通胀维持粘性，9月美联储降息50bp的预期有所降温，美联储官员表态偏鸽，短期宏观情绪有所好转。基本面，铜价下跌后刺激部分精铜消费，库存去化节奏再次加快，且铜矿TC依旧维持低位，粗铜加工费大幅下挫，冶炼厂原料供应风险仍存，对价格形成一定支撑，短期价格呈震荡偏强运行。</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22555"/>
      <w:r>
        <w:rPr>
          <w:rFonts w:hint="eastAsia" w:ascii="楷体" w:hAnsi="楷体" w:eastAsia="楷体"/>
          <w:b/>
          <w:color w:val="000000" w:themeColor="text1"/>
          <w:sz w:val="24"/>
          <w:szCs w:val="24"/>
          <w14:textFill>
            <w14:solidFill>
              <w14:schemeClr w14:val="tx1"/>
            </w14:solidFill>
          </w14:textFill>
        </w:rPr>
        <w:t>镍：库存趋势性累库，预计震荡偏弱为主</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8月核心CPI高于预期，市场下调美联储降息预期，短期宏观氛围或利空。镍矿方面，印尼镍矿供应仍偏紧，但近日印尼天气有所好转，但需警惕印尼镍矿供应放量使成本支撑下移的风险。硫酸镍方面，虽然目前硫酸镍库存偏低，但由于成本支撑减弱，加上下游补库需求有限，硫酸镍或窄幅偏弱运行。供需方面，精炼镍继续处于过剩格局，库存维持趋势性累库。综合而言，宏观情绪或施压，镍基本面未见起色，对镍价维持震荡偏弱观点，关注宏观变化及印尼镍矿扰动。</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918"/>
      <w:r>
        <w:rPr>
          <w:rFonts w:hint="eastAsia" w:ascii="楷体" w:hAnsi="楷体" w:eastAsia="楷体"/>
          <w:b/>
          <w:color w:val="000000" w:themeColor="text1"/>
          <w:sz w:val="24"/>
          <w:szCs w:val="24"/>
          <w14:textFill>
            <w14:solidFill>
              <w14:schemeClr w14:val="tx1"/>
            </w14:solidFill>
          </w14:textFill>
        </w:rPr>
        <w:t>不锈钢：低估值弱驱动，等待供需实际改善</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印尼镍矿供应仍偏紧，但近日印尼天气有所好转，警惕印尼镍矿供应宽松带来利空风险。镍铁方面，下游钢厂亏损加重，负反馈使镍铁价格承压，最新华东某特钢厂高镍铁采购价990元/镍（到厂含税），成交2000吨，现货交易。供需方面，金九以来旺季行情仍未启动，市场传言广西304不锈钢厂减产至月底，对期价或起一定支撑。综合而言，美联储降息预期下调或带来宏观偏空氛围，不锈钢需求不见明显起色，而钢厂亏损明显情况下减产消息渐起，预计期价低位震荡，有效反弹需要等待供需实际改善。</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3040"/>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无明显单边驱动，以低位震荡对待</w:t>
      </w:r>
      <w:bookmarkEnd w:id="25"/>
    </w:p>
    <w:p>
      <w:pPr>
        <w:ind w:left="630" w:leftChars="300"/>
        <w:rPr>
          <w:rFonts w:ascii="楷体" w:hAnsi="楷体" w:eastAsia="楷体"/>
          <w:sz w:val="24"/>
          <w:szCs w:val="24"/>
        </w:rPr>
      </w:pPr>
      <w:r>
        <w:rPr>
          <w:rFonts w:hint="eastAsia" w:ascii="楷体" w:hAnsi="楷体" w:eastAsia="楷体"/>
          <w:sz w:val="24"/>
          <w:szCs w:val="24"/>
        </w:rPr>
        <w:t>9月11日，Si2411主力合约呈反弹走势，收盘价9860元/吨，较上一收盘价涨跌幅＋2.76%。宏观方面，周三发布的美国CPI数据显示，8月未季调CPI年率低于预期，连续五个月走低，创2021年2月以来新低，增强了市场对美联储降息的预期。基本面方面，行业开炉率边际有所下降，但核心需求多晶硅仍未出现明显恢复，使得供应整体依旧处于宽松格局，反弹压力仍存，但也要注意盘面整体估值相对较低，已跌破较多工厂成本线，同事降息预期增强对工业品有一定支撑，短期下跌空间有限。因此，盘面以低位震荡对待，主力合约参考区间（9300，10200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6" w:name="_Toc10027"/>
      <w:r>
        <w:rPr>
          <w:rFonts w:hint="eastAsia" w:ascii="楷体" w:hAnsi="楷体" w:eastAsia="楷体"/>
          <w:b/>
          <w:color w:val="000000" w:themeColor="text1"/>
          <w:sz w:val="24"/>
          <w:szCs w:val="24"/>
          <w14:textFill>
            <w14:solidFill>
              <w14:schemeClr w14:val="tx1"/>
            </w14:solidFill>
          </w14:textFill>
        </w:rPr>
        <w:t>螺纹钢：铁水有所回升，关注旺季需求变化</w:t>
      </w:r>
      <w:bookmarkEnd w:id="26"/>
    </w:p>
    <w:p>
      <w:pPr>
        <w:ind w:left="630" w:leftChars="300"/>
        <w:rPr>
          <w:rFonts w:ascii="楷体" w:hAnsi="楷体" w:eastAsia="楷体"/>
          <w:sz w:val="24"/>
          <w:szCs w:val="24"/>
        </w:rPr>
      </w:pPr>
      <w:r>
        <w:rPr>
          <w:rFonts w:hint="eastAsia" w:ascii="楷体" w:hAnsi="楷体" w:eastAsia="楷体"/>
          <w:sz w:val="24"/>
          <w:szCs w:val="24"/>
        </w:rPr>
        <w:t>宏观方面，中美制造业PMI均呈现疲软态势，以及8月美国非农就业人口数据不及预期，市场依旧存在担忧旺季需求改善不及预期。基本面方面，钢厂开工率环比增加，日均铁水产量见底小幅回升，重点关注旺季需求变化，后续若需求无明显改善，盘面反弹压力仍存。</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32133"/>
      <w:r>
        <w:rPr>
          <w:rFonts w:hint="eastAsia" w:ascii="Times New Roman" w:hAnsi="Times New Roman" w:eastAsia="楷体"/>
          <w:b/>
          <w:color w:val="823C0B"/>
          <w:sz w:val="30"/>
          <w:szCs w:val="30"/>
        </w:rPr>
        <w:t>[化工]</w:t>
      </w:r>
      <w:bookmarkEnd w:id="27"/>
      <w:bookmarkEnd w:id="28"/>
    </w:p>
    <w:p>
      <w:pPr>
        <w:ind w:firstLine="482" w:firstLineChars="200"/>
        <w:outlineLvl w:val="1"/>
        <w:rPr>
          <w:rFonts w:ascii="楷体" w:hAnsi="楷体" w:eastAsia="楷体"/>
          <w:b/>
          <w:sz w:val="24"/>
          <w:szCs w:val="24"/>
        </w:rPr>
      </w:pPr>
      <w:bookmarkStart w:id="29" w:name="_Toc23833"/>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台风天气利好消退 天胶价格区间震荡</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盘面延续拉涨，主要原因是青岛库存大幅降库，海南、云南产区受台风影响到市场供应，市场拉涨心态较浓，但随着天气炒作逐步淡化，橡胶节前继续冲高有限。目前看，产云南台风“魔羯”早前抵达云南产区，其中作用于勐腊县影响较大，于前日下午到昨日上午暴雨持续，部分加工厂已进入停工停产防风抗汛状态，与此同时，泰国宋卡原料价格持续上涨，为天胶提供较强底部支撑。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保持高位，同时云南地区极端天气或导致交割品不足等问题。中长线来看，全年天然橡胶依旧处于供小于求的供需格局，建议待节后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0" w:name="_Toc481"/>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E方面，成本端油制生产利润较今年一季度改善明显，成本支撑减弱，供应端开工回落，短期临检偏多，后市开工预计小幅震荡。需求端，下游整体需求有回暖预期，预计后市供需均有所回升。PP方面，成本支撑减弱。供应端开工率低位回升，下周久泰能源等5套装置计划重启，检修暂无，供应环比增加。需求端，下游需求暂无明显好转，刚需采购为主。整体看，聚烯烃成本支撑减弱，需求暂无明显好转，且库存中性偏高，预计跟随成本端与工业品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1" w:name="_Toc18094"/>
      <w:r>
        <w:rPr>
          <w:rFonts w:hint="eastAsia" w:ascii="Times New Roman" w:hAnsi="Times New Roman" w:eastAsia="楷体"/>
          <w:b/>
          <w:color w:val="000000" w:themeColor="text1"/>
          <w:sz w:val="24"/>
          <w:szCs w:val="24"/>
          <w14:textFill>
            <w14:solidFill>
              <w14:schemeClr w14:val="tx1"/>
            </w14:solidFill>
          </w14:textFill>
        </w:rPr>
        <w:t>原油：风暴与数据双重影响，原油期货波动反弹</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国际原油价格出现反弹。WTI原油主力合约上涨1.61%，收报67.38美元/桶；布伦特原油主力合约上涨1.46%，报70.72美元/桶；中国原油期货SC主力合约夜盘大跌1.39%，报503.2元/桶。</w:t>
      </w:r>
    </w:p>
    <w:p>
      <w:pPr>
        <w:ind w:left="630" w:leftChars="300"/>
        <w:rPr>
          <w:rFonts w:hint="eastAsia" w:ascii="楷体" w:hAnsi="楷体" w:eastAsia="楷体"/>
          <w:sz w:val="24"/>
          <w:szCs w:val="24"/>
        </w:rPr>
      </w:pPr>
      <w:r>
        <w:rPr>
          <w:rFonts w:hint="eastAsia" w:ascii="楷体" w:hAnsi="楷体" w:eastAsia="楷体"/>
          <w:sz w:val="24"/>
          <w:szCs w:val="24"/>
        </w:rPr>
        <w:t>随着热带风暴弗朗辛逼近，墨西哥湾24%的石油产量因安全考虑被关闭，预计该风暴将于9月11日升级为飓风并可能登陆路易斯安那州，导致41.2万桶/日石油及494亿立方英尺/日天然气产量受影响，130个海上平台人员撤离。此消息对原油供应构成短期压力。</w:t>
      </w:r>
    </w:p>
    <w:p>
      <w:pPr>
        <w:ind w:left="630" w:leftChars="300"/>
        <w:rPr>
          <w:rFonts w:hint="eastAsia" w:ascii="楷体" w:hAnsi="楷体" w:eastAsia="楷体"/>
          <w:sz w:val="24"/>
          <w:szCs w:val="24"/>
        </w:rPr>
      </w:pPr>
      <w:r>
        <w:rPr>
          <w:rFonts w:hint="eastAsia" w:ascii="楷体" w:hAnsi="楷体" w:eastAsia="楷体"/>
          <w:sz w:val="24"/>
          <w:szCs w:val="24"/>
        </w:rPr>
        <w:t>周三发布的美国CPI数据显示，8月未季调CPI年率低于预期，连续五个月走低，创2021年2月以来新低，增强了市场对美联储降息的预期。据CME“美联储观察”，9月降息25基点的概率升至85%。数据发布后，美元指数走强，现货黄金下跌，非美货币普遍承压。</w:t>
      </w:r>
    </w:p>
    <w:p>
      <w:pPr>
        <w:ind w:left="630" w:leftChars="300"/>
        <w:rPr>
          <w:rFonts w:hint="eastAsia" w:ascii="楷体" w:hAnsi="楷体" w:eastAsia="楷体"/>
          <w:sz w:val="24"/>
          <w:szCs w:val="24"/>
        </w:rPr>
      </w:pPr>
      <w:r>
        <w:rPr>
          <w:rFonts w:hint="eastAsia" w:ascii="楷体" w:hAnsi="楷体" w:eastAsia="楷体"/>
          <w:sz w:val="24"/>
          <w:szCs w:val="24"/>
        </w:rPr>
        <w:t>美国至9月6日当周，EIA原油库存增加83.3万桶，前值为减少687.3万桶，好于预期增加98.7万桶；美国至9月6日当周，EIA俄克拉荷马州库欣原油库存 -170.4万桶，前值-114.2万桶；美国至9月6日当周，美国战略石油储备（SPR）库存增加27.9万桶至3.8亿桶，增幅0.07%，为2022年12月9日当周以来最高。库存数据公布后，美、布两油价格呈现先抑后扬的走势。</w:t>
      </w:r>
    </w:p>
    <w:p>
      <w:pPr>
        <w:ind w:left="630" w:leftChars="300"/>
        <w:rPr>
          <w:rFonts w:hint="eastAsia" w:ascii="楷体" w:hAnsi="楷体" w:eastAsia="楷体"/>
          <w:sz w:val="24"/>
          <w:szCs w:val="24"/>
        </w:rPr>
      </w:pPr>
      <w:r>
        <w:rPr>
          <w:rFonts w:hint="eastAsia" w:ascii="楷体" w:hAnsi="楷体" w:eastAsia="楷体"/>
          <w:sz w:val="24"/>
          <w:szCs w:val="24"/>
        </w:rPr>
        <w:t>综上所述，热带风暴对原油供应的潜在威胁与宏观经济数据的双重影响下，原油期货价格在日内经历波动，投资者需密切关注风暴进展及美联储政策动向。WTI原油主力合约仍处于中期下跌阶段，2023年低点63.64美元/桶为短期的强支撑；布伦特原油主力合约弱势，68.20美元/桶为2023年低点为下一个重要支撑；国内原油期货主力合约SC2410价格大幅下跌后，500元/吨附近有一定支撑，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2" w:name="_Toc9673"/>
      <w:r>
        <w:rPr>
          <w:rFonts w:hint="eastAsia" w:ascii="Times New Roman" w:hAnsi="Times New Roman" w:eastAsia="楷体"/>
          <w:b/>
          <w:color w:val="000000" w:themeColor="text1"/>
          <w:sz w:val="24"/>
          <w:szCs w:val="24"/>
          <w14:textFill>
            <w14:solidFill>
              <w14:schemeClr w14:val="tx1"/>
            </w14:solidFill>
          </w14:textFill>
        </w:rPr>
        <w:t>燃料油及低硫燃料油：燃料油期货分化，市场氛围谨慎</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微涨0.93%，报2721元/吨；低硫燃料油主力合约夜盘下跌0.10%，报3821元/吨；价差为1100元/吨。汽柴油市场出货表现疲软，燃料油市场的参与者信心遭受打击，整体市场交易氛围低迷，上下游企业普遍持观望态度，炼厂出库面临较大压力。隔夜原油价格有所反弹，后续持续关注。</w:t>
      </w:r>
    </w:p>
    <w:p>
      <w:pPr>
        <w:ind w:left="630" w:leftChars="300"/>
        <w:rPr>
          <w:rFonts w:hint="eastAsia" w:ascii="楷体" w:hAnsi="楷体" w:eastAsia="楷体"/>
          <w:sz w:val="24"/>
          <w:szCs w:val="24"/>
        </w:rPr>
      </w:pPr>
      <w:r>
        <w:rPr>
          <w:rFonts w:hint="eastAsia" w:ascii="楷体" w:hAnsi="楷体" w:eastAsia="楷体"/>
          <w:sz w:val="24"/>
          <w:szCs w:val="24"/>
        </w:rPr>
        <w:t>根据最新数据显示，截至2024年9月5日，山东地区独立炼厂的常减压装置周均产能利用率达到了52.18%，相较于前一周提升了0.22个百分点，不过与去年同期相比仍有8.32个百分点的差距。本周内，万达天弘和尚能石化的常减压装置开工率有所提高，带动了山东炼厂整体产能利用率的上升。（值得注意的是，本周数据的涨幅较小，主要是因为有一家大型炼化企业被纳入统计样本所致）。</w:t>
      </w:r>
    </w:p>
    <w:p>
      <w:pPr>
        <w:ind w:left="630" w:leftChars="300"/>
        <w:rPr>
          <w:rFonts w:hint="eastAsia" w:ascii="楷体" w:hAnsi="楷体" w:eastAsia="楷体"/>
          <w:sz w:val="24"/>
          <w:szCs w:val="24"/>
        </w:rPr>
      </w:pPr>
      <w:r>
        <w:rPr>
          <w:rFonts w:hint="eastAsia" w:ascii="楷体" w:hAnsi="楷体" w:eastAsia="楷体"/>
          <w:sz w:val="24"/>
          <w:szCs w:val="24"/>
        </w:rPr>
        <w:t>在燃料油市场方面，9月10日，亚洲低硫燃料油的市场结构连续第二个交易日呈现走弱态势，含硫0.5%的船用燃料油现金价差也在连续六个交易日上涨后首次出现回落。然而，如果中国市场继续保持从新加坡进口燃料油的趋势，则短期内低硫燃料油市场仍将获得一定支撑。尽管预期在9月下半月会有部分来自西半球的套利货物抵达，但考虑到中国市场需求增加的可能性，市场供应紧张的局面可能还将持续。</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7427"/>
      <w:r>
        <w:rPr>
          <w:rFonts w:hint="eastAsia" w:ascii="Times New Roman" w:hAnsi="Times New Roman" w:eastAsia="楷体"/>
          <w:b/>
          <w:color w:val="000000" w:themeColor="text1"/>
          <w:sz w:val="24"/>
          <w:szCs w:val="24"/>
          <w14:textFill>
            <w14:solidFill>
              <w14:schemeClr w14:val="tx1"/>
            </w14:solidFill>
          </w14:textFill>
        </w:rPr>
        <w:t>沥青：沥青期货温和回升，市场供需调整中</w:t>
      </w:r>
      <w:bookmarkEnd w:id="33"/>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沥青期货主力合约BU2410反弹上涨0.37%，收3019元/吨。前期原油价格跌幅较大，如能企稳，沥青短线有望迎来反弹。</w:t>
      </w:r>
    </w:p>
    <w:p>
      <w:pPr>
        <w:ind w:left="630" w:leftChars="300"/>
        <w:rPr>
          <w:rFonts w:hint="eastAsia" w:ascii="楷体" w:hAnsi="楷体" w:eastAsia="楷体"/>
          <w:sz w:val="24"/>
          <w:szCs w:val="24"/>
        </w:rPr>
      </w:pPr>
      <w:r>
        <w:rPr>
          <w:rFonts w:hint="eastAsia" w:ascii="楷体" w:hAnsi="楷体" w:eastAsia="楷体"/>
          <w:sz w:val="24"/>
          <w:szCs w:val="24"/>
        </w:rPr>
        <w:t>今日，国内沥青市场均价微降至3636元/吨，较前一日下滑6元/吨，受国际原油市场疲软影响，部分炼厂以低价促销，市场竞争加剧，沥青现货市场呈现弱势稳定格局。</w:t>
      </w:r>
    </w:p>
    <w:p>
      <w:pPr>
        <w:ind w:left="630" w:leftChars="300"/>
        <w:rPr>
          <w:rFonts w:hint="eastAsia" w:ascii="楷体" w:hAnsi="楷体" w:eastAsia="楷体"/>
          <w:sz w:val="24"/>
          <w:szCs w:val="24"/>
        </w:rPr>
      </w:pPr>
      <w:r>
        <w:rPr>
          <w:rFonts w:hint="eastAsia" w:ascii="楷体" w:hAnsi="楷体" w:eastAsia="楷体"/>
          <w:sz w:val="24"/>
          <w:szCs w:val="24"/>
        </w:rPr>
        <w:t>本周（2024年9月5日至11日），国内81家沥青企业产能利用率录得24.3%，较前周下滑1.2个百分点，主要因沧州鑫高源、中油高富暂无生产安排，且山东部分主力炼厂停产，导致整体产能利用率下降。同时，改性沥青产能利用率虽环比增加0.7%至18.7%，但北方施工需求减弱限制了增幅，而南方需求则稳步上升。</w:t>
      </w:r>
    </w:p>
    <w:p>
      <w:pPr>
        <w:ind w:left="630" w:leftChars="300"/>
        <w:rPr>
          <w:rFonts w:hint="eastAsia" w:ascii="楷体" w:hAnsi="楷体" w:eastAsia="楷体"/>
          <w:sz w:val="24"/>
          <w:szCs w:val="24"/>
        </w:rPr>
      </w:pPr>
      <w:r>
        <w:rPr>
          <w:rFonts w:hint="eastAsia" w:ascii="楷体" w:hAnsi="楷体" w:eastAsia="楷体"/>
          <w:sz w:val="24"/>
          <w:szCs w:val="24"/>
        </w:rPr>
        <w:t>沥青装置检修量本周增至105.5万吨，增幅1.44%，东方华龙复产未能完全抵消东明石化转产及江苏新海停产带来的影响。出货量方面，国内54家企业样本出货量环比下降3.6%至40.2万吨，华北、东北及山东地区出货量均有所减少，主要受主力炼厂限量出货、区外资源跌价及价格弱势运行等因素影响。</w:t>
      </w:r>
    </w:p>
    <w:p>
      <w:pPr>
        <w:ind w:left="630" w:leftChars="300"/>
        <w:rPr>
          <w:rFonts w:hint="eastAsia" w:ascii="楷体" w:hAnsi="楷体" w:eastAsia="楷体"/>
          <w:sz w:val="24"/>
          <w:szCs w:val="24"/>
        </w:rPr>
      </w:pPr>
      <w:r>
        <w:rPr>
          <w:rFonts w:hint="eastAsia" w:ascii="楷体" w:hAnsi="楷体" w:eastAsia="楷体"/>
          <w:sz w:val="24"/>
          <w:szCs w:val="24"/>
        </w:rPr>
        <w:t>沥青周产量下降至42.5万吨，环比减少4.5%，尽管华东地区部分炼厂维持稳定生产，但东明石化转产及山东、江苏地区炼厂停产导致产能损失720万吨/年。利润方面，按当前原料价格计算，沥青生产综合利润周度均值为-362.8元/吨，环比增加242.7元/吨，得益于国际原油价格跌至年内低点，沥青价格缓跌，利润得以部分修复（理论利润计算基于100%缴税，未考虑炼厂抵税）。</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4" w:name="_Toc29055"/>
      <w:r>
        <w:rPr>
          <w:rFonts w:hint="eastAsia" w:ascii="Times New Roman" w:hAnsi="Times New Roman" w:eastAsia="楷体"/>
          <w:b/>
          <w:color w:val="000000" w:themeColor="text1"/>
          <w:sz w:val="24"/>
          <w:szCs w:val="24"/>
          <w14:textFill>
            <w14:solidFill>
              <w14:schemeClr w14:val="tx1"/>
            </w14:solidFill>
          </w14:textFill>
        </w:rPr>
        <w:t>PTA：宏观&amp;油价趋弱 聚酯走势偏空</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原油及PX方面，OPEC 及EIA下调原油需求预期，随着需求季节性回落，原油基本面持续弱化跌势延续考虑。原油供给端OPEC+或面临增产压力，成本端趋弱可能对PX绝对价格形成拖累。</w:t>
      </w:r>
    </w:p>
    <w:p>
      <w:pPr>
        <w:ind w:left="630" w:leftChars="300"/>
        <w:rPr>
          <w:rFonts w:hint="eastAsia" w:ascii="楷体" w:hAnsi="楷体" w:eastAsia="楷体"/>
          <w:sz w:val="24"/>
          <w:szCs w:val="24"/>
        </w:rPr>
      </w:pPr>
      <w:r>
        <w:rPr>
          <w:rFonts w:hint="eastAsia" w:ascii="楷体" w:hAnsi="楷体" w:eastAsia="楷体"/>
          <w:sz w:val="24"/>
          <w:szCs w:val="24"/>
        </w:rPr>
        <w:t>PTA供需：截止9.5台化120万吨停车，逸盛大化、威联PTA装置降负运行，PTA负荷在82.6%（-5.5%）。从PTA平衡表来看，整体来看下半年PTA偏累库存格局。本周聚酯装置检修或者减产后陆续恢复，国内大陆地区聚酯负荷在87.9%附近。但9月阶段性下游订单不足,涤丝工厂的在库压力缓解比较困难。</w:t>
      </w:r>
    </w:p>
    <w:p>
      <w:pPr>
        <w:ind w:left="630" w:leftChars="300"/>
        <w:rPr>
          <w:rFonts w:hint="eastAsia" w:ascii="楷体" w:hAnsi="楷体" w:eastAsia="楷体"/>
          <w:sz w:val="24"/>
          <w:szCs w:val="24"/>
        </w:rPr>
      </w:pPr>
      <w:r>
        <w:rPr>
          <w:rFonts w:hint="eastAsia" w:ascii="楷体" w:hAnsi="楷体" w:eastAsia="楷体"/>
          <w:sz w:val="24"/>
          <w:szCs w:val="24"/>
        </w:rPr>
        <w:t>综合来看四季度小幅累库供需双增叠加出口方面提振不足，终端纺织品服装内需仍不稳固。</w:t>
      </w:r>
    </w:p>
    <w:p>
      <w:pPr>
        <w:ind w:left="630" w:leftChars="300"/>
        <w:rPr>
          <w:rFonts w:ascii="楷体" w:hAnsi="楷体" w:eastAsia="楷体"/>
          <w:sz w:val="24"/>
          <w:szCs w:val="24"/>
        </w:rPr>
      </w:pPr>
      <w:r>
        <w:rPr>
          <w:rFonts w:hint="eastAsia" w:ascii="楷体" w:hAnsi="楷体" w:eastAsia="楷体"/>
          <w:sz w:val="24"/>
          <w:szCs w:val="24"/>
        </w:rPr>
        <w:t>四季度聚酯开工面临季节性下滑压力，近期聚酯原料价格暴跌对于下游企业来说，库存贬值压力较大，聚酯工厂的PTA采购也变得谨慎，需求疲软难以提振PTA。宏观&amp;油价&amp;累库格局共振，聚酯产业链跟随成本端弱势探底。</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5" w:name="_Toc8159"/>
      <w:r>
        <w:rPr>
          <w:rFonts w:hint="eastAsia" w:ascii="Times New Roman" w:hAnsi="Times New Roman" w:eastAsia="楷体"/>
          <w:b/>
          <w:color w:val="000000" w:themeColor="text1"/>
          <w:sz w:val="24"/>
          <w:szCs w:val="24"/>
          <w14:textFill>
            <w14:solidFill>
              <w14:schemeClr w14:val="tx1"/>
            </w14:solidFill>
          </w14:textFill>
        </w:rPr>
        <w:t>乙二醇：跟随成本端补跌 期价偏弱</w:t>
      </w:r>
      <w:bookmarkEnd w:id="35"/>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9.9华东主港地区MEG港口库存约62.2万吨附近，环比上期-5.2万吨。乙二醇到港减少，主港显性库存去化明显。截至9月5日，中国大陆地区乙二醇整体开工负荷在64.33%（-4.63%），其中草酸催化加氢法（合成气）制乙二醇开工负荷在63.36%（-5.11%）。截至9月5日，国内大陆地区聚酯负荷在87.9%（+0.9%）附近，聚酯负荷开工小幅回升。终端来看，江浙终端开工继续小幅提升，截止9.6江浙下游加弹、织造、印染负荷分别在91%（+1%）、76%（+1%）、80%(+1)。综合来看，去库+供给端开工下滑，9-10的旺季预期，乙二醇自身供需尚可。但目前聚酯产业链都跟随成本端油价悲观性下跌，乙二醇补跌，短期期价尚未止跌震荡偏弱，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6980"/>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hint="eastAsia" w:ascii="楷体" w:hAnsi="楷体" w:eastAsia="楷体"/>
          <w:b/>
        </w:rPr>
      </w:pPr>
      <w:bookmarkStart w:id="37" w:name="_Toc1546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现货延续跌势，期价低位反弹</w:t>
      </w:r>
      <w:bookmarkEnd w:id="37"/>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延续弱势，主要原因在于市场对新作上市压力的担忧依然存在，这使得现货缺乏上涨驱动。在这种情况下，需要等待以下三个方面，其一是华北小麦能否转强，其二是中下游是否需要在新作上市之前被动补库，其三是市场对新作产量前景的担忧能否强化，继而引发对新作供需格局的乐观预期，带动中下游主动补库存。综上所述，我们维持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小幅收窄，主要原因有二，其一是原料成本即华北玉米现货持续弱势，其二是副产品价格受蛋白粕反弹带动多有止跌回升，但考虑到行业供需趋于改善即行业库存继续下滑，而副产品价格反弹空间或受限，再加上淀粉现货基差高企，而盘面生产利润为负，淀粉-玉米价差收窄空间或有限。综上所述，单边基于原料成本维持中性，建议投资者观望，套利层面则可以持有做扩淀粉-玉米价差。</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1083"/>
      <w:r>
        <w:rPr>
          <w:rFonts w:hint="eastAsia" w:ascii="楷体" w:hAnsi="楷体" w:eastAsia="楷体"/>
          <w:b/>
          <w:bCs/>
          <w:color w:val="000000" w:themeColor="text1"/>
          <w14:textFill>
            <w14:solidFill>
              <w14:schemeClr w14:val="tx1"/>
            </w14:solidFill>
          </w14:textFill>
        </w:rPr>
        <w:t>畜禽养殖：生猪期价继续跌势</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延续近强远弱分化走势，这主要源于市场预期现货阶段性回落临近尾声，与6月中下旬的现货表现类似，进而预期接下来有望再度出现上涨行情。在理解盘面的基础上看，远月关注供需改善幅度及其饲料成本预期，考虑到远月期价贴近养殖成本，目前证伪难度较大；近月更多关注节奏，特别是生猪出栏恢复的进度与生猪出栏体重的变化，这里面需要跟过去两年做个比较，2022年更多源于市场压栏和新冠疫情，2023年更多源于非瘟疫情和资金链因素。与过去两年特别是2022年相比，农业农村部公布的2季度末生猪存栏量更低，而7月规模以上屠宰企业生猪屠宰量更高，加上涌益咨询公布的7-8月日度屠宰量亦高于2022年，因此，可以合理推算三季度供应压力显著低于2022年，这可以通过新生仔猪数量加以印证，因今年新生仔猪数量底部出现在3-4月，对应生猪出栏量大致在9-10月。综上所述，维持谨慎看多观点，建议谨慎投资者观望，激进投资者可以考虑轻仓入场做多2411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旺季合约已经进入交割月，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转为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765"/>
      <w:r>
        <w:rPr>
          <w:rFonts w:hint="eastAsia" w:ascii="楷体" w:hAnsi="楷体" w:eastAsia="楷体"/>
          <w:b/>
          <w:bCs/>
          <w:color w:val="000000" w:themeColor="text1"/>
          <w14:textFill>
            <w14:solidFill>
              <w14:schemeClr w14:val="tx1"/>
            </w14:solidFill>
          </w14:textFill>
        </w:rPr>
        <w:t>白糖：震荡偏强</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由于巴西减产和印度解禁改变国际白糖供需，外盘止跌后反弹。隔日外盘纽约原糖主力合约和伦敦白砂糖主力合约分别上涨1.63%和2.01%。巴西对外贸易秘书处(Secex)公布的出口数据显示，巴西9月第一周出口糖957,026.37吨，日均出口量为191,405.27吨，较上年9月全月的日均出口量159,546.69吨增加20%。上年9月全月出口量为3,190,933.80吨。国内隔日夜盘，白糖主力01合约上涨0.48%。国内台风影响广西区域，部分甘蔗田受到影响出现倒伏等现象，受损情况未知。除广西之外，台风冲击越南主要甘蔗产区，该地白糖产量或受到更大的不利影响。天气事件多次冲击下白糖丰产预期略有改变，短期内或有脉冲式上涨，尝试冲击上方均线压制。</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7099"/>
      <w:r>
        <w:rPr>
          <w:rFonts w:hint="eastAsia" w:ascii="楷体" w:hAnsi="楷体" w:eastAsia="楷体"/>
          <w:b/>
          <w:bCs/>
          <w:color w:val="000000" w:themeColor="text1"/>
          <w14:textFill>
            <w14:solidFill>
              <w14:schemeClr w14:val="tx1"/>
            </w14:solidFill>
          </w14:textFill>
        </w:rPr>
        <w:t>棉花：预计郑棉震荡整理，空单继续持有</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上涨2.20%。热带风暴弗朗辛继续在墨西哥湾沿北/西北方向移动，预计其将进一步发展并增强为1级飓风，随后转向北/东北方向朝路易斯安那海岸移动，并将在周三下午或晚间登陆。未来几天，预计路易斯安那州和密西西比州南部将有大量降水，随着风暴进一步向内陆移动，两州的主产棉区预计将有显著降水。国内隔日夜盘，郑棉主力2501主力合约上涨0.15%。担忧风暴带来的大量降水影响棉花收割，ICE美棉价格连续两日反弹，但上方40日和60日均线的压力依然沉重。国内，短期内宏观因素依然是主导郑棉价格走势的主逻辑，密切关注美联储降息前后商品大盘表现。</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2866"/>
      <w:r>
        <w:rPr>
          <w:rFonts w:hint="eastAsia" w:ascii="楷体" w:hAnsi="楷体" w:eastAsia="楷体"/>
          <w:b/>
          <w:bCs/>
          <w:color w:val="000000" w:themeColor="text1"/>
          <w14:textFill>
            <w14:solidFill>
              <w14:schemeClr w14:val="tx1"/>
            </w14:solidFill>
          </w14:textFill>
        </w:rPr>
        <w:t>蛋白粕：整体震荡运行，菜粕表现较强</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0.35%，而国内油料豆二下跌0.39%，菜籽下跌0.28%；豆粕上涨0.07%，菜粕上涨1.05%。除菜粕外，其他品种小幅度变动，区间震荡。美豆优良率持稳，好于市场预期，等待USDA今日发布报告，但预计丰产调整不大。短期宏观情绪偏空，大宗商品整体氛围不佳，对油脂油料带来打压。后续处于南美种植生长期以及美豆出口窗口期，目前巴西干旱天气对丰产预期有所减少。总体来说，短期对豆粕维持区间震荡观点。但目前豆粕处于去库阶段，美豆磨底向上修复，因此对后市豆粕走势并不悲观，菜粕受此影响，亦有上涨空间，长期看多。</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1064"/>
      <w:r>
        <w:rPr>
          <w:rFonts w:hint="eastAsia" w:ascii="楷体" w:hAnsi="楷体" w:eastAsia="楷体"/>
          <w:b/>
          <w:bCs/>
          <w:color w:val="000000" w:themeColor="text1"/>
          <w14:textFill>
            <w14:solidFill>
              <w14:schemeClr w14:val="tx1"/>
            </w14:solidFill>
          </w14:textFill>
        </w:rPr>
        <w:t>油脂类：需求好转但供应依旧充足，短期震荡</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下跌0.50%，菜油下跌0.01%，棕榈油下跌0.08%，均属震荡范围。受国际原油反弹影响，加之中加贸易问题或进一步升级，菜油表现最强，在菜油的带动下，豆油和棕榈油跌幅也有所缩窄。棕榈油方面，MPOB供需报告显示，8月马棕产量为189万吨，符合市场预期，出口为152万吨，略高于此前预估，而实际累库略高于预期，较前月增长7.34%至188万吨，为六个月来最高水平。马棕基本面有所转弱，再度突破8000难度较大。国内方面，双节备货带动下，上周三大油脂库存均有下滑，其中豆油受与棕榈油和菜油之间的价差支撑，替代性消费较多，但油厂压榨开机维持高位，豆油和菜油供给依旧充足，短期仍震荡运行。后续棕榈油需求季节性下滑，而菜油可能受到原料端供给转紧的预期支撑，因此豆油作为最具性价比油脂，消费预期偏强。</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3" w:name="_Toc9707"/>
      <w:r>
        <w:rPr>
          <w:rFonts w:hint="eastAsia" w:ascii="Times New Roman" w:hAnsi="Times New Roman" w:eastAsia="楷体"/>
          <w:b/>
          <w:color w:val="823C0B"/>
          <w:sz w:val="30"/>
          <w:szCs w:val="30"/>
        </w:rPr>
        <w:t>[指数]</w:t>
      </w:r>
      <w:bookmarkEnd w:id="43"/>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4" w:name="_Toc12962"/>
      <w:r>
        <w:rPr>
          <w:rFonts w:hint="eastAsia" w:ascii="Times New Roman" w:hAnsi="Times New Roman" w:eastAsia="楷体"/>
          <w:b/>
          <w:color w:val="000000" w:themeColor="text1"/>
          <w:sz w:val="24"/>
          <w:szCs w:val="24"/>
          <w14:textFill>
            <w14:solidFill>
              <w14:schemeClr w14:val="tx1"/>
            </w14:solidFill>
          </w14:textFill>
        </w:rPr>
        <w:t>集运指数（欧线）：盘面悲观情绪有所修复，期价大幅反弹</w:t>
      </w:r>
      <w:bookmarkEnd w:id="44"/>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涨12.67%至1916.7。现货运价缓跌，下周现舱均价约4780美元，盘面悲观情绪有所修复，期价超跌反弹。9月6日，上海航运交易所发布的上海出口集装箱综合运价指数为2726.58点，较上期下跌8.0%。9月6日，上海港出口至欧洲基本港市场运价（海运及海运附加费）为3459美元/TEU，较上期下跌10.8%。9月6日，上海港出口至地中海基本港市场运价（海运及海运附加费）为3823美元/TEU，较上期下跌6.4%。马士基二次下调9月15日生效的欧线旺季附加费PSS至1000/2000。10月假期部分航线停航，届时关注运力回落的后续影响。留意短期波动加剧的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5" w:name="_Toc98426751"/>
      <w:bookmarkStart w:id="46" w:name="_Toc72481108"/>
      <w:bookmarkStart w:id="47" w:name="_Toc71212556"/>
      <w:bookmarkStart w:id="48" w:name="_Toc12779"/>
      <w:bookmarkStart w:id="49" w:name="_Toc19667"/>
      <w:r>
        <w:rPr>
          <w:rFonts w:ascii="Times New Roman" w:hAnsi="Times New Roman" w:eastAsia="楷体"/>
          <w:b/>
          <w:color w:val="411D05"/>
          <w:sz w:val="30"/>
          <w:szCs w:val="30"/>
        </w:rPr>
        <w:t>免责声明</w:t>
      </w:r>
      <w:bookmarkEnd w:id="45"/>
      <w:bookmarkEnd w:id="46"/>
      <w:bookmarkEnd w:id="47"/>
      <w:bookmarkEnd w:id="48"/>
      <w:bookmarkEnd w:id="49"/>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2024年9月12日星期四</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313D4A"/>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2C758E"/>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020C32"/>
    <w:rsid w:val="46194A11"/>
    <w:rsid w:val="461E2AF1"/>
    <w:rsid w:val="47752ACA"/>
    <w:rsid w:val="47A71483"/>
    <w:rsid w:val="47C813F2"/>
    <w:rsid w:val="48352178"/>
    <w:rsid w:val="489B63EF"/>
    <w:rsid w:val="48D7317F"/>
    <w:rsid w:val="4953255E"/>
    <w:rsid w:val="49BF13F0"/>
    <w:rsid w:val="49D75468"/>
    <w:rsid w:val="49E169F0"/>
    <w:rsid w:val="4A1F6F8D"/>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2024-09-12T01:37:55Z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