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楷体" w:cs="Times New Roman"/>
          <w:b/>
          <w:color w:val="823C0B"/>
          <w:sz w:val="32"/>
          <w:szCs w:val="32"/>
        </w:rPr>
      </w:pPr>
      <w:bookmarkStart w:id="0" w:name="_top"/>
      <w:bookmarkEnd w:id="0"/>
      <w:r>
        <w:rPr>
          <w:rFonts w:ascii="Times New Roman" w:hAnsi="Times New Roman" w:eastAsia="楷体" w:cs="Times New Roman"/>
          <w:b/>
          <w:color w:val="823C0B"/>
          <w:sz w:val="32"/>
          <w:szCs w:val="32"/>
        </w:rPr>
        <w:t>广州期货早间直通车</w:t>
      </w:r>
    </w:p>
    <w:p>
      <w:pPr>
        <w:jc w:val="right"/>
        <w:rPr>
          <w:rFonts w:ascii="Times New Roman" w:hAnsi="Times New Roman" w:eastAsia="楷体" w:cs="Times New Roman"/>
          <w:b/>
          <w:color w:val="823C0B"/>
          <w:sz w:val="24"/>
        </w:rPr>
      </w:pPr>
    </w:p>
    <w:p>
      <w:pPr>
        <w:jc w:val="center"/>
        <w:rPr>
          <w:rFonts w:ascii="Times New Roman" w:hAnsi="Times New Roman" w:eastAsia="楷体" w:cs="Times New Roman"/>
          <w:b/>
          <w:color w:val="823C0B"/>
          <w:sz w:val="24"/>
        </w:rPr>
      </w:pPr>
      <w:r>
        <w:rPr>
          <w:rFonts w:ascii="Times New Roman" w:hAnsi="Times New Roman" w:eastAsia="楷体" w:cs="Times New Roman"/>
          <w:b/>
          <w:color w:val="823C0B"/>
          <w:sz w:val="24"/>
        </w:rPr>
        <w:t>投资咨询业务资格：证监许可【2012】1497号</w:t>
      </w:r>
    </w:p>
    <w:p>
      <w:pPr>
        <w:jc w:val="center"/>
        <w:rPr>
          <w:rFonts w:ascii="Times New Roman" w:hAnsi="Times New Roman" w:eastAsia="楷体"/>
          <w:b/>
        </w:rPr>
      </w:pPr>
      <w:r>
        <w:rPr>
          <w:rFonts w:hint="eastAsia" w:ascii="Times New Roman" w:hAnsi="Times New Roman" w:eastAsia="楷体"/>
          <w:b/>
          <w:color w:val="823C0B"/>
          <w:sz w:val="30"/>
          <w:szCs w:val="30"/>
        </w:rPr>
        <w:t>评论品种一览</w:t>
      </w:r>
    </w:p>
    <w:sdt>
      <w:sdtPr>
        <w:rPr>
          <w:rFonts w:eastAsia="宋体" w:asciiTheme="minorHAnsi" w:hAnsiTheme="minorHAnsi" w:cstheme="minorBidi"/>
          <w:b/>
          <w:bCs/>
          <w:color w:val="auto"/>
          <w:kern w:val="2"/>
          <w:sz w:val="21"/>
          <w:szCs w:val="21"/>
          <w:lang w:val="zh-CN"/>
        </w:rPr>
        <w:id w:val="1355533930"/>
        <w:docPartObj>
          <w:docPartGallery w:val="Table of Contents"/>
          <w:docPartUnique/>
        </w:docPartObj>
      </w:sdtPr>
      <w:sdtEndPr>
        <w:rPr>
          <w:rFonts w:eastAsia="宋体" w:asciiTheme="minorHAnsi" w:hAnsiTheme="minorHAnsi" w:cstheme="minorBidi"/>
          <w:b/>
          <w:bCs/>
          <w:color w:val="auto"/>
          <w:kern w:val="2"/>
          <w:sz w:val="21"/>
          <w:szCs w:val="21"/>
          <w:lang w:val="zh-CN"/>
        </w:rPr>
      </w:sdtEndPr>
      <w:sdtContent>
        <w:p>
          <w:pPr>
            <w:pStyle w:val="98"/>
            <w:rPr>
              <w:b/>
              <w:bCs/>
            </w:rPr>
          </w:pPr>
          <w:bookmarkStart w:id="50" w:name="_GoBack"/>
          <w:bookmarkEnd w:id="50"/>
        </w:p>
        <w:p>
          <w:pPr>
            <w:pStyle w:val="59"/>
            <w:tabs>
              <w:tab w:val="right" w:leader="dot" w:pos="8306"/>
            </w:tabs>
          </w:pPr>
          <w:r>
            <w:rPr>
              <w:b/>
              <w:bCs/>
            </w:rPr>
            <w:fldChar w:fldCharType="begin"/>
          </w:r>
          <w:r>
            <w:rPr>
              <w:b/>
              <w:bCs/>
            </w:rPr>
            <w:instrText xml:space="preserve"> TOC \o "1-3" \n \h \z \u </w:instrText>
          </w:r>
          <w:r>
            <w:rPr>
              <w:b/>
              <w:bCs/>
            </w:rPr>
            <w:fldChar w:fldCharType="separate"/>
          </w:r>
          <w:r>
            <w:rPr>
              <w:bCs/>
            </w:rPr>
            <w:fldChar w:fldCharType="begin"/>
          </w:r>
          <w:r>
            <w:rPr>
              <w:bCs/>
            </w:rPr>
            <w:instrText xml:space="preserve"> HYPERLINK \l _Toc16290 </w:instrText>
          </w:r>
          <w:r>
            <w:rPr>
              <w:bCs/>
            </w:rPr>
            <w:fldChar w:fldCharType="separate"/>
          </w:r>
          <w:r>
            <w:rPr>
              <w:rFonts w:hint="eastAsia" w:ascii="Times New Roman" w:hAnsi="Times New Roman" w:eastAsia="楷体"/>
              <w:szCs w:val="30"/>
            </w:rPr>
            <w:t>[金融]</w:t>
          </w:r>
          <w:r>
            <w:rPr>
              <w:bCs/>
            </w:rPr>
            <w:fldChar w:fldCharType="end"/>
          </w:r>
        </w:p>
        <w:p>
          <w:pPr>
            <w:pStyle w:val="74"/>
            <w:tabs>
              <w:tab w:val="right" w:leader="dot" w:pos="8306"/>
            </w:tabs>
          </w:pPr>
          <w:r>
            <w:rPr>
              <w:bCs/>
            </w:rPr>
            <w:fldChar w:fldCharType="begin"/>
          </w:r>
          <w:r>
            <w:rPr>
              <w:bCs/>
            </w:rPr>
            <w:instrText xml:space="preserve"> HYPERLINK \l _Toc5005 </w:instrText>
          </w:r>
          <w:r>
            <w:rPr>
              <w:bCs/>
            </w:rPr>
            <w:fldChar w:fldCharType="separate"/>
          </w:r>
          <w:r>
            <w:rPr>
              <w:rFonts w:hint="eastAsia" w:ascii="Times New Roman" w:hAnsi="Times New Roman" w:eastAsia="楷体"/>
              <w:szCs w:val="24"/>
            </w:rPr>
            <w:t>股指：多IF空IM继续持有</w:t>
          </w:r>
          <w:r>
            <w:rPr>
              <w:bCs/>
            </w:rPr>
            <w:fldChar w:fldCharType="end"/>
          </w:r>
        </w:p>
        <w:p>
          <w:pPr>
            <w:pStyle w:val="59"/>
            <w:tabs>
              <w:tab w:val="right" w:leader="dot" w:pos="8306"/>
            </w:tabs>
          </w:pPr>
          <w:r>
            <w:rPr>
              <w:bCs/>
            </w:rPr>
            <w:fldChar w:fldCharType="begin"/>
          </w:r>
          <w:r>
            <w:rPr>
              <w:bCs/>
            </w:rPr>
            <w:instrText xml:space="preserve"> HYPERLINK \l _Toc10810 </w:instrText>
          </w:r>
          <w:r>
            <w:rPr>
              <w:bCs/>
            </w:rPr>
            <w:fldChar w:fldCharType="separate"/>
          </w:r>
          <w:r>
            <w:rPr>
              <w:rFonts w:hint="eastAsia" w:ascii="Times New Roman" w:hAnsi="Times New Roman" w:eastAsia="楷体"/>
              <w:szCs w:val="30"/>
            </w:rPr>
            <w:t>[贵金属]</w:t>
          </w:r>
          <w:r>
            <w:rPr>
              <w:bCs/>
            </w:rPr>
            <w:fldChar w:fldCharType="end"/>
          </w:r>
        </w:p>
        <w:p>
          <w:pPr>
            <w:pStyle w:val="74"/>
            <w:tabs>
              <w:tab w:val="right" w:leader="dot" w:pos="8306"/>
            </w:tabs>
          </w:pPr>
          <w:r>
            <w:rPr>
              <w:bCs/>
            </w:rPr>
            <w:fldChar w:fldCharType="begin"/>
          </w:r>
          <w:r>
            <w:rPr>
              <w:bCs/>
            </w:rPr>
            <w:instrText xml:space="preserve"> HYPERLINK \l _Toc25687 </w:instrText>
          </w:r>
          <w:r>
            <w:rPr>
              <w:bCs/>
            </w:rPr>
            <w:fldChar w:fldCharType="separate"/>
          </w:r>
          <w:r>
            <w:rPr>
              <w:rFonts w:hint="eastAsia" w:ascii="Times New Roman" w:hAnsi="Times New Roman" w:eastAsia="楷体"/>
              <w:szCs w:val="24"/>
            </w:rPr>
            <w:t>贵金属：人民币汇率调贬，沪金小幅反弹</w:t>
          </w:r>
          <w:r>
            <w:rPr>
              <w:bCs/>
            </w:rPr>
            <w:fldChar w:fldCharType="end"/>
          </w:r>
        </w:p>
        <w:p>
          <w:pPr>
            <w:pStyle w:val="59"/>
            <w:tabs>
              <w:tab w:val="right" w:leader="dot" w:pos="8306"/>
            </w:tabs>
          </w:pPr>
          <w:r>
            <w:rPr>
              <w:bCs/>
            </w:rPr>
            <w:fldChar w:fldCharType="begin"/>
          </w:r>
          <w:r>
            <w:rPr>
              <w:bCs/>
            </w:rPr>
            <w:instrText xml:space="preserve"> HYPERLINK \l _Toc23363 </w:instrText>
          </w:r>
          <w:r>
            <w:rPr>
              <w:bCs/>
            </w:rPr>
            <w:fldChar w:fldCharType="separate"/>
          </w:r>
          <w:r>
            <w:rPr>
              <w:rFonts w:hint="eastAsia" w:ascii="Times New Roman" w:hAnsi="Times New Roman" w:eastAsia="楷体"/>
              <w:szCs w:val="30"/>
            </w:rPr>
            <w:t>[金属]</w:t>
          </w:r>
          <w:r>
            <w:rPr>
              <w:bCs/>
            </w:rPr>
            <w:fldChar w:fldCharType="end"/>
          </w:r>
        </w:p>
        <w:p>
          <w:pPr>
            <w:pStyle w:val="74"/>
            <w:tabs>
              <w:tab w:val="right" w:leader="dot" w:pos="8306"/>
            </w:tabs>
          </w:pPr>
          <w:r>
            <w:rPr>
              <w:bCs/>
            </w:rPr>
            <w:fldChar w:fldCharType="begin"/>
          </w:r>
          <w:r>
            <w:rPr>
              <w:bCs/>
            </w:rPr>
            <w:instrText xml:space="preserve"> HYPERLINK \l _Toc26532 </w:instrText>
          </w:r>
          <w:r>
            <w:rPr>
              <w:bCs/>
            </w:rPr>
            <w:fldChar w:fldCharType="separate"/>
          </w:r>
          <w:r>
            <w:rPr>
              <w:rFonts w:hint="eastAsia" w:ascii="楷体" w:hAnsi="楷体" w:eastAsia="楷体"/>
              <w:szCs w:val="24"/>
            </w:rPr>
            <w:t>碳酸锂：8月碳酸锂产量环比下行，期价低位反弹</w:t>
          </w:r>
          <w:r>
            <w:rPr>
              <w:bCs/>
            </w:rPr>
            <w:fldChar w:fldCharType="end"/>
          </w:r>
        </w:p>
        <w:p>
          <w:pPr>
            <w:pStyle w:val="74"/>
            <w:tabs>
              <w:tab w:val="right" w:leader="dot" w:pos="8306"/>
            </w:tabs>
          </w:pPr>
          <w:r>
            <w:rPr>
              <w:bCs/>
            </w:rPr>
            <w:fldChar w:fldCharType="begin"/>
          </w:r>
          <w:r>
            <w:rPr>
              <w:bCs/>
            </w:rPr>
            <w:instrText xml:space="preserve"> HYPERLINK \l _Toc3136 </w:instrText>
          </w:r>
          <w:r>
            <w:rPr>
              <w:bCs/>
            </w:rPr>
            <w:fldChar w:fldCharType="separate"/>
          </w:r>
          <w:r>
            <w:rPr>
              <w:rFonts w:hint="eastAsia" w:ascii="楷体" w:hAnsi="楷体" w:eastAsia="楷体"/>
              <w:szCs w:val="24"/>
            </w:rPr>
            <w:t>铝：万九支撑上下盘整</w:t>
          </w:r>
          <w:r>
            <w:rPr>
              <w:bCs/>
            </w:rPr>
            <w:fldChar w:fldCharType="end"/>
          </w:r>
        </w:p>
        <w:p>
          <w:pPr>
            <w:pStyle w:val="74"/>
            <w:tabs>
              <w:tab w:val="right" w:leader="dot" w:pos="8306"/>
            </w:tabs>
          </w:pPr>
          <w:r>
            <w:rPr>
              <w:bCs/>
            </w:rPr>
            <w:fldChar w:fldCharType="begin"/>
          </w:r>
          <w:r>
            <w:rPr>
              <w:bCs/>
            </w:rPr>
            <w:instrText xml:space="preserve"> HYPERLINK \l _Toc10656 </w:instrText>
          </w:r>
          <w:r>
            <w:rPr>
              <w:bCs/>
            </w:rPr>
            <w:fldChar w:fldCharType="separate"/>
          </w:r>
          <w:r>
            <w:rPr>
              <w:rFonts w:hint="eastAsia" w:ascii="楷体" w:hAnsi="楷体" w:eastAsia="楷体"/>
              <w:szCs w:val="24"/>
            </w:rPr>
            <w:t>锌：锌价弱向盘整</w:t>
          </w:r>
          <w:r>
            <w:rPr>
              <w:bCs/>
            </w:rPr>
            <w:fldChar w:fldCharType="end"/>
          </w:r>
        </w:p>
        <w:p>
          <w:pPr>
            <w:pStyle w:val="74"/>
            <w:tabs>
              <w:tab w:val="right" w:leader="dot" w:pos="8306"/>
            </w:tabs>
          </w:pPr>
          <w:r>
            <w:rPr>
              <w:bCs/>
            </w:rPr>
            <w:fldChar w:fldCharType="begin"/>
          </w:r>
          <w:r>
            <w:rPr>
              <w:bCs/>
            </w:rPr>
            <w:instrText xml:space="preserve"> HYPERLINK \l _Toc13979 </w:instrText>
          </w:r>
          <w:r>
            <w:rPr>
              <w:bCs/>
            </w:rPr>
            <w:fldChar w:fldCharType="separate"/>
          </w:r>
          <w:r>
            <w:rPr>
              <w:rFonts w:hint="eastAsia" w:ascii="楷体" w:hAnsi="楷体" w:eastAsia="楷体"/>
              <w:szCs w:val="24"/>
              <w:lang w:val="en-US" w:eastAsia="zh-CN"/>
            </w:rPr>
            <w:t>铜</w:t>
          </w:r>
          <w:r>
            <w:rPr>
              <w:rFonts w:hint="eastAsia" w:ascii="楷体" w:hAnsi="楷体" w:eastAsia="楷体"/>
              <w:szCs w:val="24"/>
            </w:rPr>
            <w:t>：短期价格维持承压运行，关注宏观情绪变化</w:t>
          </w:r>
          <w:r>
            <w:rPr>
              <w:bCs/>
            </w:rPr>
            <w:fldChar w:fldCharType="end"/>
          </w:r>
        </w:p>
        <w:p>
          <w:pPr>
            <w:pStyle w:val="74"/>
            <w:tabs>
              <w:tab w:val="right" w:leader="dot" w:pos="8306"/>
            </w:tabs>
          </w:pPr>
          <w:r>
            <w:rPr>
              <w:bCs/>
            </w:rPr>
            <w:fldChar w:fldCharType="begin"/>
          </w:r>
          <w:r>
            <w:rPr>
              <w:bCs/>
            </w:rPr>
            <w:instrText xml:space="preserve"> HYPERLINK \l _Toc3146 </w:instrText>
          </w:r>
          <w:r>
            <w:rPr>
              <w:bCs/>
            </w:rPr>
            <w:fldChar w:fldCharType="separate"/>
          </w:r>
          <w:r>
            <w:rPr>
              <w:rFonts w:hint="eastAsia" w:ascii="楷体" w:hAnsi="楷体" w:eastAsia="楷体"/>
              <w:szCs w:val="24"/>
            </w:rPr>
            <w:t>镍：宏观与基本面共振，镍价或偏弱运行</w:t>
          </w:r>
          <w:r>
            <w:rPr>
              <w:bCs/>
            </w:rPr>
            <w:fldChar w:fldCharType="end"/>
          </w:r>
        </w:p>
        <w:p>
          <w:pPr>
            <w:pStyle w:val="74"/>
            <w:tabs>
              <w:tab w:val="right" w:leader="dot" w:pos="8306"/>
            </w:tabs>
          </w:pPr>
          <w:r>
            <w:rPr>
              <w:bCs/>
            </w:rPr>
            <w:fldChar w:fldCharType="begin"/>
          </w:r>
          <w:r>
            <w:rPr>
              <w:bCs/>
            </w:rPr>
            <w:instrText xml:space="preserve"> HYPERLINK \l _Toc20872 </w:instrText>
          </w:r>
          <w:r>
            <w:rPr>
              <w:bCs/>
            </w:rPr>
            <w:fldChar w:fldCharType="separate"/>
          </w:r>
          <w:r>
            <w:rPr>
              <w:rFonts w:hint="eastAsia" w:ascii="楷体" w:hAnsi="楷体" w:eastAsia="楷体"/>
              <w:szCs w:val="24"/>
            </w:rPr>
            <w:t>不锈钢：低位震荡，等待供需实际改善</w:t>
          </w:r>
          <w:r>
            <w:rPr>
              <w:bCs/>
            </w:rPr>
            <w:fldChar w:fldCharType="end"/>
          </w:r>
        </w:p>
        <w:p>
          <w:pPr>
            <w:pStyle w:val="74"/>
            <w:tabs>
              <w:tab w:val="right" w:leader="dot" w:pos="8306"/>
            </w:tabs>
          </w:pPr>
          <w:r>
            <w:rPr>
              <w:bCs/>
            </w:rPr>
            <w:fldChar w:fldCharType="begin"/>
          </w:r>
          <w:r>
            <w:rPr>
              <w:bCs/>
            </w:rPr>
            <w:instrText xml:space="preserve"> HYPERLINK \l _Toc14939 </w:instrText>
          </w:r>
          <w:r>
            <w:rPr>
              <w:bCs/>
            </w:rPr>
            <w:fldChar w:fldCharType="separate"/>
          </w:r>
          <w:r>
            <w:rPr>
              <w:rFonts w:hint="eastAsia" w:ascii="楷体" w:hAnsi="楷体" w:eastAsia="楷体"/>
              <w:szCs w:val="24"/>
            </w:rPr>
            <w:t>工业硅：宏观情绪降温，反弹压力仍存</w:t>
          </w:r>
          <w:r>
            <w:rPr>
              <w:bCs/>
            </w:rPr>
            <w:fldChar w:fldCharType="end"/>
          </w:r>
        </w:p>
        <w:p>
          <w:pPr>
            <w:pStyle w:val="74"/>
            <w:tabs>
              <w:tab w:val="right" w:leader="dot" w:pos="8306"/>
            </w:tabs>
          </w:pPr>
          <w:r>
            <w:rPr>
              <w:bCs/>
            </w:rPr>
            <w:fldChar w:fldCharType="begin"/>
          </w:r>
          <w:r>
            <w:rPr>
              <w:bCs/>
            </w:rPr>
            <w:instrText xml:space="preserve"> HYPERLINK \l _Toc29678 </w:instrText>
          </w:r>
          <w:r>
            <w:rPr>
              <w:bCs/>
            </w:rPr>
            <w:fldChar w:fldCharType="separate"/>
          </w:r>
          <w:r>
            <w:rPr>
              <w:rFonts w:hint="eastAsia" w:ascii="楷体" w:hAnsi="楷体" w:eastAsia="楷体"/>
              <w:szCs w:val="24"/>
            </w:rPr>
            <w:t>螺纹钢：宏观情绪偏弱，反弹压力仍存</w:t>
          </w:r>
          <w:r>
            <w:rPr>
              <w:bCs/>
            </w:rPr>
            <w:fldChar w:fldCharType="end"/>
          </w:r>
        </w:p>
        <w:p>
          <w:pPr>
            <w:pStyle w:val="59"/>
            <w:tabs>
              <w:tab w:val="right" w:leader="dot" w:pos="8306"/>
            </w:tabs>
          </w:pPr>
          <w:r>
            <w:rPr>
              <w:bCs/>
            </w:rPr>
            <w:fldChar w:fldCharType="begin"/>
          </w:r>
          <w:r>
            <w:rPr>
              <w:bCs/>
            </w:rPr>
            <w:instrText xml:space="preserve"> HYPERLINK \l _Toc20990 </w:instrText>
          </w:r>
          <w:r>
            <w:rPr>
              <w:bCs/>
            </w:rPr>
            <w:fldChar w:fldCharType="separate"/>
          </w:r>
          <w:r>
            <w:rPr>
              <w:rFonts w:hint="eastAsia" w:ascii="Times New Roman" w:hAnsi="Times New Roman" w:eastAsia="楷体"/>
              <w:szCs w:val="30"/>
            </w:rPr>
            <w:t>[化工]</w:t>
          </w:r>
          <w:r>
            <w:rPr>
              <w:bCs/>
            </w:rPr>
            <w:fldChar w:fldCharType="end"/>
          </w:r>
        </w:p>
        <w:p>
          <w:pPr>
            <w:pStyle w:val="74"/>
            <w:tabs>
              <w:tab w:val="right" w:leader="dot" w:pos="8306"/>
            </w:tabs>
          </w:pPr>
          <w:r>
            <w:rPr>
              <w:bCs/>
            </w:rPr>
            <w:fldChar w:fldCharType="begin"/>
          </w:r>
          <w:r>
            <w:rPr>
              <w:bCs/>
            </w:rPr>
            <w:instrText xml:space="preserve"> HYPERLINK \l _Toc8868 </w:instrText>
          </w:r>
          <w:r>
            <w:rPr>
              <w:bCs/>
            </w:rPr>
            <w:fldChar w:fldCharType="separate"/>
          </w:r>
          <w:r>
            <w:rPr>
              <w:rFonts w:hint="eastAsia" w:ascii="Times New Roman" w:hAnsi="Times New Roman" w:eastAsia="楷体"/>
              <w:szCs w:val="24"/>
            </w:rPr>
            <w:t>天然橡胶:</w:t>
          </w:r>
          <w:r>
            <w:rPr>
              <w:rFonts w:hint="eastAsia" w:ascii="Times New Roman" w:hAnsi="Times New Roman" w:eastAsia="楷体"/>
              <w:szCs w:val="24"/>
              <w:lang w:val="en-US" w:eastAsia="zh-CN"/>
            </w:rPr>
            <w:t xml:space="preserve"> 台风天气对云南产区短期影响较大 天胶价格延续拉涨</w:t>
          </w:r>
          <w:r>
            <w:rPr>
              <w:bCs/>
            </w:rPr>
            <w:fldChar w:fldCharType="end"/>
          </w:r>
        </w:p>
        <w:p>
          <w:pPr>
            <w:pStyle w:val="74"/>
            <w:tabs>
              <w:tab w:val="right" w:leader="dot" w:pos="8306"/>
            </w:tabs>
          </w:pPr>
          <w:r>
            <w:rPr>
              <w:bCs/>
            </w:rPr>
            <w:fldChar w:fldCharType="begin"/>
          </w:r>
          <w:r>
            <w:rPr>
              <w:bCs/>
            </w:rPr>
            <w:instrText xml:space="preserve"> HYPERLINK \l _Toc3747 </w:instrText>
          </w:r>
          <w:r>
            <w:rPr>
              <w:bCs/>
            </w:rPr>
            <w:fldChar w:fldCharType="separate"/>
          </w:r>
          <w:r>
            <w:rPr>
              <w:rFonts w:hint="eastAsia" w:ascii="Times New Roman" w:hAnsi="Times New Roman" w:eastAsia="楷体"/>
              <w:szCs w:val="24"/>
            </w:rPr>
            <w:t>聚烯烃：需求未见明显起色 聚烯烃跟随原油价格走势为主</w:t>
          </w:r>
          <w:r>
            <w:rPr>
              <w:bCs/>
            </w:rPr>
            <w:fldChar w:fldCharType="end"/>
          </w:r>
        </w:p>
        <w:p>
          <w:pPr>
            <w:pStyle w:val="74"/>
            <w:tabs>
              <w:tab w:val="right" w:leader="dot" w:pos="8306"/>
            </w:tabs>
          </w:pPr>
          <w:r>
            <w:rPr>
              <w:bCs/>
            </w:rPr>
            <w:fldChar w:fldCharType="begin"/>
          </w:r>
          <w:r>
            <w:rPr>
              <w:bCs/>
            </w:rPr>
            <w:instrText xml:space="preserve"> HYPERLINK \l _Toc5505 </w:instrText>
          </w:r>
          <w:r>
            <w:rPr>
              <w:bCs/>
            </w:rPr>
            <w:fldChar w:fldCharType="separate"/>
          </w:r>
          <w:r>
            <w:rPr>
              <w:rFonts w:hint="eastAsia" w:ascii="Times New Roman" w:hAnsi="Times New Roman" w:eastAsia="楷体"/>
              <w:szCs w:val="24"/>
            </w:rPr>
            <w:t>原油：供应过剩阴霾下，油价短期反弹寻支撑</w:t>
          </w:r>
          <w:r>
            <w:rPr>
              <w:bCs/>
            </w:rPr>
            <w:fldChar w:fldCharType="end"/>
          </w:r>
        </w:p>
        <w:p>
          <w:pPr>
            <w:pStyle w:val="74"/>
            <w:tabs>
              <w:tab w:val="right" w:leader="dot" w:pos="8306"/>
            </w:tabs>
          </w:pPr>
          <w:r>
            <w:rPr>
              <w:bCs/>
            </w:rPr>
            <w:fldChar w:fldCharType="begin"/>
          </w:r>
          <w:r>
            <w:rPr>
              <w:bCs/>
            </w:rPr>
            <w:instrText xml:space="preserve"> HYPERLINK \l _Toc12867 </w:instrText>
          </w:r>
          <w:r>
            <w:rPr>
              <w:bCs/>
            </w:rPr>
            <w:fldChar w:fldCharType="separate"/>
          </w:r>
          <w:r>
            <w:rPr>
              <w:rFonts w:hint="eastAsia" w:ascii="Times New Roman" w:hAnsi="Times New Roman" w:eastAsia="楷体"/>
              <w:szCs w:val="24"/>
            </w:rPr>
            <w:t>燃料油及低硫燃料油：燃料油期货夜盘涨跌互现，市场承压但存短期反弹需求</w:t>
          </w:r>
          <w:r>
            <w:rPr>
              <w:bCs/>
            </w:rPr>
            <w:fldChar w:fldCharType="end"/>
          </w:r>
        </w:p>
        <w:p>
          <w:pPr>
            <w:pStyle w:val="74"/>
            <w:tabs>
              <w:tab w:val="right" w:leader="dot" w:pos="8306"/>
            </w:tabs>
          </w:pPr>
          <w:r>
            <w:rPr>
              <w:bCs/>
            </w:rPr>
            <w:fldChar w:fldCharType="begin"/>
          </w:r>
          <w:r>
            <w:rPr>
              <w:bCs/>
            </w:rPr>
            <w:instrText xml:space="preserve"> HYPERLINK \l _Toc21015 </w:instrText>
          </w:r>
          <w:r>
            <w:rPr>
              <w:bCs/>
            </w:rPr>
            <w:fldChar w:fldCharType="separate"/>
          </w:r>
          <w:r>
            <w:rPr>
              <w:rFonts w:hint="eastAsia" w:ascii="Times New Roman" w:hAnsi="Times New Roman" w:eastAsia="楷体"/>
              <w:szCs w:val="24"/>
            </w:rPr>
            <w:t>沥青：沥青期货夜盘大跌，现货市场窄幅调整</w:t>
          </w:r>
          <w:r>
            <w:rPr>
              <w:bCs/>
            </w:rPr>
            <w:fldChar w:fldCharType="end"/>
          </w:r>
        </w:p>
        <w:p>
          <w:pPr>
            <w:pStyle w:val="74"/>
            <w:tabs>
              <w:tab w:val="right" w:leader="dot" w:pos="8306"/>
            </w:tabs>
          </w:pPr>
          <w:r>
            <w:rPr>
              <w:bCs/>
            </w:rPr>
            <w:fldChar w:fldCharType="begin"/>
          </w:r>
          <w:r>
            <w:rPr>
              <w:bCs/>
            </w:rPr>
            <w:instrText xml:space="preserve"> HYPERLINK \l _Toc12736 </w:instrText>
          </w:r>
          <w:r>
            <w:rPr>
              <w:bCs/>
            </w:rPr>
            <w:fldChar w:fldCharType="separate"/>
          </w:r>
          <w:r>
            <w:rPr>
              <w:rFonts w:hint="eastAsia" w:ascii="Times New Roman" w:hAnsi="Times New Roman" w:eastAsia="楷体"/>
              <w:szCs w:val="24"/>
            </w:rPr>
            <w:t>PTA：宏观&amp;油价趋弱 聚酯走势偏空</w:t>
          </w:r>
          <w:r>
            <w:rPr>
              <w:bCs/>
            </w:rPr>
            <w:fldChar w:fldCharType="end"/>
          </w:r>
        </w:p>
        <w:p>
          <w:pPr>
            <w:pStyle w:val="74"/>
            <w:tabs>
              <w:tab w:val="right" w:leader="dot" w:pos="8306"/>
            </w:tabs>
          </w:pPr>
          <w:r>
            <w:rPr>
              <w:bCs/>
            </w:rPr>
            <w:fldChar w:fldCharType="begin"/>
          </w:r>
          <w:r>
            <w:rPr>
              <w:bCs/>
            </w:rPr>
            <w:instrText xml:space="preserve"> HYPERLINK \l _Toc12554 </w:instrText>
          </w:r>
          <w:r>
            <w:rPr>
              <w:bCs/>
            </w:rPr>
            <w:fldChar w:fldCharType="separate"/>
          </w:r>
          <w:r>
            <w:rPr>
              <w:rFonts w:hint="eastAsia" w:ascii="Times New Roman" w:hAnsi="Times New Roman" w:eastAsia="楷体"/>
              <w:szCs w:val="24"/>
            </w:rPr>
            <w:t>乙二醇：跟随成本端补跌 期价偏弱</w:t>
          </w:r>
          <w:r>
            <w:rPr>
              <w:bCs/>
            </w:rPr>
            <w:fldChar w:fldCharType="end"/>
          </w:r>
        </w:p>
        <w:p>
          <w:pPr>
            <w:pStyle w:val="59"/>
            <w:tabs>
              <w:tab w:val="right" w:leader="dot" w:pos="8306"/>
            </w:tabs>
          </w:pPr>
          <w:r>
            <w:rPr>
              <w:bCs/>
            </w:rPr>
            <w:fldChar w:fldCharType="begin"/>
          </w:r>
          <w:r>
            <w:rPr>
              <w:bCs/>
            </w:rPr>
            <w:instrText xml:space="preserve"> HYPERLINK \l _Toc1353 </w:instrText>
          </w:r>
          <w:r>
            <w:rPr>
              <w:bCs/>
            </w:rPr>
            <w:fldChar w:fldCharType="separate"/>
          </w:r>
          <w:r>
            <w:rPr>
              <w:rFonts w:hint="eastAsia" w:ascii="Times New Roman" w:hAnsi="Times New Roman" w:eastAsia="楷体"/>
              <w:szCs w:val="30"/>
            </w:rPr>
            <w:t>[农产品]</w:t>
          </w:r>
          <w:r>
            <w:rPr>
              <w:bCs/>
            </w:rPr>
            <w:fldChar w:fldCharType="end"/>
          </w:r>
        </w:p>
        <w:p>
          <w:pPr>
            <w:pStyle w:val="74"/>
            <w:tabs>
              <w:tab w:val="right" w:leader="dot" w:pos="8306"/>
            </w:tabs>
          </w:pPr>
          <w:r>
            <w:rPr>
              <w:bCs/>
            </w:rPr>
            <w:fldChar w:fldCharType="begin"/>
          </w:r>
          <w:r>
            <w:rPr>
              <w:bCs/>
            </w:rPr>
            <w:instrText xml:space="preserve"> HYPERLINK \l _Toc19303 </w:instrText>
          </w:r>
          <w:r>
            <w:rPr>
              <w:bCs/>
            </w:rPr>
            <w:fldChar w:fldCharType="separate"/>
          </w:r>
          <w:r>
            <w:rPr>
              <w:rFonts w:hint="eastAsia" w:ascii="楷体" w:hAnsi="楷体" w:eastAsia="楷体"/>
              <w:bCs/>
            </w:rPr>
            <w:t>玉米与淀粉：</w:t>
          </w:r>
          <w:r>
            <w:rPr>
              <w:rFonts w:hint="eastAsia" w:ascii="楷体" w:hAnsi="楷体" w:eastAsia="楷体"/>
            </w:rPr>
            <w:t>玉米期价再创新低</w:t>
          </w:r>
          <w:r>
            <w:rPr>
              <w:bCs/>
            </w:rPr>
            <w:fldChar w:fldCharType="end"/>
          </w:r>
        </w:p>
        <w:p>
          <w:pPr>
            <w:pStyle w:val="74"/>
            <w:tabs>
              <w:tab w:val="right" w:leader="dot" w:pos="8306"/>
            </w:tabs>
          </w:pPr>
          <w:r>
            <w:rPr>
              <w:bCs/>
            </w:rPr>
            <w:fldChar w:fldCharType="begin"/>
          </w:r>
          <w:r>
            <w:rPr>
              <w:bCs/>
            </w:rPr>
            <w:instrText xml:space="preserve"> HYPERLINK \l _Toc17646 </w:instrText>
          </w:r>
          <w:r>
            <w:rPr>
              <w:bCs/>
            </w:rPr>
            <w:fldChar w:fldCharType="separate"/>
          </w:r>
          <w:r>
            <w:rPr>
              <w:rFonts w:hint="eastAsia" w:ascii="楷体" w:hAnsi="楷体" w:eastAsia="楷体"/>
              <w:bCs/>
            </w:rPr>
            <w:t>畜禽养殖：生猪现货带动近月期价大幅回落</w:t>
          </w:r>
          <w:r>
            <w:rPr>
              <w:bCs/>
            </w:rPr>
            <w:fldChar w:fldCharType="end"/>
          </w:r>
        </w:p>
        <w:p>
          <w:pPr>
            <w:pStyle w:val="74"/>
            <w:tabs>
              <w:tab w:val="right" w:leader="dot" w:pos="8306"/>
            </w:tabs>
          </w:pPr>
          <w:r>
            <w:rPr>
              <w:bCs/>
            </w:rPr>
            <w:fldChar w:fldCharType="begin"/>
          </w:r>
          <w:r>
            <w:rPr>
              <w:bCs/>
            </w:rPr>
            <w:instrText xml:space="preserve"> HYPERLINK \l _Toc30565 </w:instrText>
          </w:r>
          <w:r>
            <w:rPr>
              <w:bCs/>
            </w:rPr>
            <w:fldChar w:fldCharType="separate"/>
          </w:r>
          <w:r>
            <w:rPr>
              <w:rFonts w:hint="eastAsia" w:ascii="楷体" w:hAnsi="楷体" w:eastAsia="楷体"/>
              <w:bCs/>
            </w:rPr>
            <w:t>白糖：震荡整理</w:t>
          </w:r>
          <w:r>
            <w:rPr>
              <w:bCs/>
            </w:rPr>
            <w:fldChar w:fldCharType="end"/>
          </w:r>
        </w:p>
        <w:p>
          <w:pPr>
            <w:pStyle w:val="74"/>
            <w:tabs>
              <w:tab w:val="right" w:leader="dot" w:pos="8306"/>
            </w:tabs>
          </w:pPr>
          <w:r>
            <w:rPr>
              <w:bCs/>
            </w:rPr>
            <w:fldChar w:fldCharType="begin"/>
          </w:r>
          <w:r>
            <w:rPr>
              <w:bCs/>
            </w:rPr>
            <w:instrText xml:space="preserve"> HYPERLINK \l _Toc15049 </w:instrText>
          </w:r>
          <w:r>
            <w:rPr>
              <w:bCs/>
            </w:rPr>
            <w:fldChar w:fldCharType="separate"/>
          </w:r>
          <w:r>
            <w:rPr>
              <w:rFonts w:hint="eastAsia" w:ascii="楷体" w:hAnsi="楷体" w:eastAsia="楷体"/>
              <w:bCs/>
            </w:rPr>
            <w:t>棉花：预计郑棉震荡下行，空单持有</w:t>
          </w:r>
          <w:r>
            <w:rPr>
              <w:bCs/>
            </w:rPr>
            <w:fldChar w:fldCharType="end"/>
          </w:r>
        </w:p>
        <w:p>
          <w:pPr>
            <w:pStyle w:val="74"/>
            <w:tabs>
              <w:tab w:val="right" w:leader="dot" w:pos="8306"/>
            </w:tabs>
          </w:pPr>
          <w:r>
            <w:rPr>
              <w:bCs/>
            </w:rPr>
            <w:fldChar w:fldCharType="begin"/>
          </w:r>
          <w:r>
            <w:rPr>
              <w:bCs/>
            </w:rPr>
            <w:instrText xml:space="preserve"> HYPERLINK \l _Toc30835 </w:instrText>
          </w:r>
          <w:r>
            <w:rPr>
              <w:bCs/>
            </w:rPr>
            <w:fldChar w:fldCharType="separate"/>
          </w:r>
          <w:r>
            <w:rPr>
              <w:rFonts w:hint="eastAsia" w:ascii="楷体" w:hAnsi="楷体" w:eastAsia="楷体"/>
              <w:bCs/>
            </w:rPr>
            <w:t>蛋白粕：豆系持续向上修复，菜籽利多逐渐消耗期价回落</w:t>
          </w:r>
          <w:r>
            <w:rPr>
              <w:bCs/>
            </w:rPr>
            <w:fldChar w:fldCharType="end"/>
          </w:r>
        </w:p>
        <w:p>
          <w:pPr>
            <w:pStyle w:val="74"/>
            <w:tabs>
              <w:tab w:val="right" w:leader="dot" w:pos="8306"/>
            </w:tabs>
          </w:pPr>
          <w:r>
            <w:rPr>
              <w:bCs/>
            </w:rPr>
            <w:fldChar w:fldCharType="begin"/>
          </w:r>
          <w:r>
            <w:rPr>
              <w:bCs/>
            </w:rPr>
            <w:instrText xml:space="preserve"> HYPERLINK \l _Toc8032 </w:instrText>
          </w:r>
          <w:r>
            <w:rPr>
              <w:bCs/>
            </w:rPr>
            <w:fldChar w:fldCharType="separate"/>
          </w:r>
          <w:r>
            <w:rPr>
              <w:rFonts w:hint="eastAsia" w:ascii="楷体" w:hAnsi="楷体" w:eastAsia="楷体"/>
              <w:bCs/>
            </w:rPr>
            <w:t>油脂类：利多因素支撑，油脂纷纷上涨</w:t>
          </w:r>
          <w:r>
            <w:rPr>
              <w:bCs/>
            </w:rPr>
            <w:fldChar w:fldCharType="end"/>
          </w:r>
        </w:p>
        <w:p>
          <w:pPr>
            <w:pStyle w:val="59"/>
            <w:tabs>
              <w:tab w:val="right" w:leader="dot" w:pos="8306"/>
            </w:tabs>
          </w:pPr>
          <w:r>
            <w:rPr>
              <w:bCs/>
            </w:rPr>
            <w:fldChar w:fldCharType="begin"/>
          </w:r>
          <w:r>
            <w:rPr>
              <w:bCs/>
            </w:rPr>
            <w:instrText xml:space="preserve"> HYPERLINK \l _Toc25736 </w:instrText>
          </w:r>
          <w:r>
            <w:rPr>
              <w:bCs/>
            </w:rPr>
            <w:fldChar w:fldCharType="separate"/>
          </w:r>
          <w:r>
            <w:rPr>
              <w:rFonts w:hint="eastAsia" w:ascii="Times New Roman" w:hAnsi="Times New Roman" w:eastAsia="楷体"/>
              <w:szCs w:val="30"/>
            </w:rPr>
            <w:t>[指数]</w:t>
          </w:r>
          <w:r>
            <w:rPr>
              <w:bCs/>
            </w:rPr>
            <w:fldChar w:fldCharType="end"/>
          </w:r>
        </w:p>
        <w:p>
          <w:pPr>
            <w:pStyle w:val="74"/>
            <w:tabs>
              <w:tab w:val="right" w:leader="dot" w:pos="8306"/>
            </w:tabs>
          </w:pPr>
          <w:r>
            <w:rPr>
              <w:bCs/>
            </w:rPr>
            <w:fldChar w:fldCharType="begin"/>
          </w:r>
          <w:r>
            <w:rPr>
              <w:bCs/>
            </w:rPr>
            <w:instrText xml:space="preserve"> HYPERLINK \l _Toc6705 </w:instrText>
          </w:r>
          <w:r>
            <w:rPr>
              <w:bCs/>
            </w:rPr>
            <w:fldChar w:fldCharType="separate"/>
          </w:r>
          <w:r>
            <w:rPr>
              <w:rFonts w:hint="eastAsia" w:ascii="Times New Roman" w:hAnsi="Times New Roman" w:eastAsia="楷体"/>
              <w:szCs w:val="24"/>
            </w:rPr>
            <w:t>集运指数（欧线）：盘面维持悲观情绪，期价持续寻底</w:t>
          </w:r>
          <w:r>
            <w:rPr>
              <w:bCs/>
            </w:rPr>
            <w:fldChar w:fldCharType="end"/>
          </w:r>
        </w:p>
        <w:p>
          <w:pPr>
            <w:pStyle w:val="59"/>
            <w:tabs>
              <w:tab w:val="right" w:leader="dot" w:pos="8296"/>
            </w:tabs>
            <w:rPr>
              <w:rFonts w:eastAsiaTheme="minorEastAsia"/>
              <w:szCs w:val="22"/>
            </w:rPr>
          </w:pPr>
          <w:r>
            <w:rPr>
              <w:bCs/>
            </w:rPr>
            <w:fldChar w:fldCharType="end"/>
          </w:r>
        </w:p>
      </w:sdtContent>
    </w:sdt>
    <w:p>
      <w:pPr>
        <w:jc w:val="center"/>
        <w:rPr>
          <w:rFonts w:ascii="Times New Roman" w:hAnsi="Times New Roman" w:eastAsia="楷体" w:cs="Times New Roman"/>
          <w:color w:val="823C0B"/>
        </w:rPr>
        <w:sectPr>
          <w:headerReference r:id="rId4" w:type="first"/>
          <w:headerReference r:id="rId3" w:type="default"/>
          <w:footerReference r:id="rId5" w:type="default"/>
          <w:pgSz w:w="11906" w:h="16838"/>
          <w:pgMar w:top="1440" w:right="1800" w:bottom="1440" w:left="1800" w:header="850" w:footer="1077" w:gutter="0"/>
          <w:cols w:space="425" w:num="1"/>
          <w:titlePg/>
          <w:docGrid w:type="lines" w:linePitch="312" w:charSpace="0"/>
        </w:sectPr>
      </w:pPr>
      <w:r>
        <w:rPr>
          <w:rFonts w:hint="eastAsia" w:ascii="Times New Roman" w:hAnsi="Times New Roman" w:eastAsia="楷体" w:cs="Times New Roman"/>
          <w:color w:val="823C0B"/>
        </w:rPr>
        <w:t>本文观点、结论和建议等仅供参考，并不构成操作依据！请阅读文末免责声明。</w:t>
      </w:r>
    </w:p>
    <w:p>
      <w:pPr>
        <w:rPr>
          <w:rFonts w:ascii="Times New Roman" w:hAnsi="Times New Roman" w:eastAsia="楷体" w:cs="Times New Roman"/>
          <w:b/>
          <w:color w:val="823C0B"/>
          <w:sz w:val="24"/>
        </w:rPr>
      </w:pPr>
    </w:p>
    <w:p>
      <w:pPr>
        <w:jc w:val="center"/>
        <w:rPr>
          <w:rFonts w:ascii="Times New Roman" w:hAnsi="Times New Roman" w:eastAsia="楷体"/>
          <w:b/>
          <w:color w:val="823C0B"/>
          <w:sz w:val="30"/>
          <w:szCs w:val="30"/>
        </w:rPr>
      </w:pPr>
      <w:r>
        <w:rPr>
          <w:rFonts w:hint="eastAsia" w:ascii="Times New Roman" w:hAnsi="Times New Roman" w:eastAsia="楷体"/>
          <w:b/>
          <w:color w:val="823C0B"/>
          <w:sz w:val="30"/>
          <w:szCs w:val="30"/>
        </w:rPr>
        <w:t>本日早评</w:t>
      </w:r>
    </w:p>
    <w:p>
      <w:pPr>
        <w:pBdr>
          <w:top w:val="single" w:color="auto" w:sz="4" w:space="0"/>
        </w:pBdr>
        <w:outlineLvl w:val="0"/>
        <w:rPr>
          <w:rFonts w:ascii="Times New Roman" w:hAnsi="Times New Roman" w:eastAsia="楷体"/>
          <w:b/>
          <w:color w:val="823C0B"/>
        </w:rPr>
      </w:pPr>
      <w:bookmarkStart w:id="1" w:name="_Toc19317"/>
      <w:bookmarkStart w:id="2" w:name="_Toc18033"/>
      <w:bookmarkStart w:id="3" w:name="_Toc16290"/>
      <w:bookmarkStart w:id="4" w:name="金融"/>
      <w:r>
        <w:rPr>
          <w:rFonts w:hint="eastAsia" w:ascii="Times New Roman" w:hAnsi="Times New Roman" w:eastAsia="楷体"/>
          <w:b/>
          <w:color w:val="823C0B"/>
          <w:sz w:val="30"/>
          <w:szCs w:val="30"/>
        </w:rPr>
        <w:t>[金融]</w:t>
      </w:r>
      <w:bookmarkEnd w:id="1"/>
      <w:bookmarkEnd w:id="2"/>
      <w:bookmarkEnd w:id="3"/>
    </w:p>
    <w:bookmarkEnd w:id="4"/>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5" w:name="_Toc16295"/>
      <w:bookmarkStart w:id="6" w:name="_Toc965"/>
      <w:bookmarkStart w:id="7" w:name="_Toc5005"/>
      <w:r>
        <w:rPr>
          <w:rFonts w:hint="eastAsia" w:ascii="Times New Roman" w:hAnsi="Times New Roman" w:eastAsia="楷体"/>
          <w:b/>
          <w:color w:val="000000" w:themeColor="text1"/>
          <w:sz w:val="24"/>
          <w:szCs w:val="24"/>
          <w14:textFill>
            <w14:solidFill>
              <w14:schemeClr w14:val="tx1"/>
            </w14:solidFill>
          </w14:textFill>
        </w:rPr>
        <w:t>股指：</w:t>
      </w:r>
      <w:bookmarkEnd w:id="5"/>
      <w:bookmarkEnd w:id="6"/>
      <w:r>
        <w:rPr>
          <w:rFonts w:hint="eastAsia" w:ascii="Times New Roman" w:hAnsi="Times New Roman" w:eastAsia="楷体"/>
          <w:b/>
          <w:color w:val="000000" w:themeColor="text1"/>
          <w:sz w:val="24"/>
          <w:szCs w:val="24"/>
          <w14:textFill>
            <w14:solidFill>
              <w14:schemeClr w14:val="tx1"/>
            </w14:solidFill>
          </w14:textFill>
        </w:rPr>
        <w:t>多IF空IM继续持有</w:t>
      </w:r>
      <w:bookmarkEnd w:id="7"/>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周末8月PMI公布，不及市场预期。昨日开盘后A股单边下挫，截至收盘，沪指跌逾1%退守2800点，创本轮调整新低，市场成交额7084.7亿元。对于8月末反弹行情是否能持续的首要是关注是成交量方面会否出现持续放量，一旦量能再度出现明显萎缩，市场仍有继续磨底风险，尤其是9月中下旬市场即将迎来中秋、国庆双节，可能会影响资金的交投意愿，对A股流动性仍是一大考验。再者则是两条交易线索：其一是，疲弱的经济数据触发逆周期政策的发力，使得市场风格回归均衡，使得小盘成长出现超跌反弹，但政策的调整大概率是一个渐进式的过程；其二是，美联储预防式降息交易，大概率幅度不会特别高，但为全球风险资产提供了反弹的有利环境。后续需观察国内宽货币的跟进力度，国内宽财政执行改善及效果的乐观预期发酵，如果想象空间受限，则市场对于中期基本面压力的担忧会继续给市场施加调整压力。综合来说，前期提出的多IF空IM组合策略仍可继续持有。</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rPr>
      </w:pPr>
      <w:bookmarkStart w:id="8" w:name="_Toc10810"/>
      <w:r>
        <w:rPr>
          <w:rFonts w:hint="eastAsia" w:ascii="Times New Roman" w:hAnsi="Times New Roman" w:eastAsia="楷体"/>
          <w:b/>
          <w:color w:val="823C0B"/>
          <w:sz w:val="30"/>
          <w:szCs w:val="30"/>
        </w:rPr>
        <w:t>[贵金属]</w:t>
      </w:r>
      <w:bookmarkEnd w:id="8"/>
    </w:p>
    <w:p>
      <w:pPr>
        <w:ind w:left="420" w:leftChars="200"/>
        <w:outlineLvl w:val="1"/>
        <w:rPr>
          <w:rFonts w:hint="eastAsia" w:ascii="Times New Roman" w:hAnsi="Times New Roman" w:eastAsia="楷体"/>
          <w:b/>
          <w:color w:val="000000" w:themeColor="text1"/>
          <w:sz w:val="24"/>
          <w:szCs w:val="24"/>
          <w14:textFill>
            <w14:solidFill>
              <w14:schemeClr w14:val="tx1"/>
            </w14:solidFill>
          </w14:textFill>
        </w:rPr>
      </w:pPr>
      <w:bookmarkStart w:id="9" w:name="_Toc25687"/>
      <w:r>
        <w:rPr>
          <w:rFonts w:hint="eastAsia" w:ascii="Times New Roman" w:hAnsi="Times New Roman" w:eastAsia="楷体"/>
          <w:b/>
          <w:color w:val="000000" w:themeColor="text1"/>
          <w:sz w:val="24"/>
          <w:szCs w:val="24"/>
          <w14:textFill>
            <w14:solidFill>
              <w14:schemeClr w14:val="tx1"/>
            </w14:solidFill>
          </w14:textFill>
        </w:rPr>
        <w:t>贵金属：人民币汇率调贬，沪金小幅反弹</w:t>
      </w:r>
      <w:bookmarkEnd w:id="9"/>
    </w:p>
    <w:p>
      <w:pPr>
        <w:ind w:left="630" w:leftChars="300"/>
        <w:rPr>
          <w:rFonts w:hint="eastAsia"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沪金涨0.18%至571.78元/克，沪银跌0.18%至7019元/千克。人民币汇率短线小幅调贬至约7.113。上周数据显示，美国8月新增非农就业人数录得增14.2万人，较上月而言上升5.3万人，低于此前预期。8月美国失业率增4.2%，较上月而言下行0.1个百分点；美国劳动参与率增62.7%，持平上月前值。美国劳动力市场降温，美联储官员表态偏鸽，9月以及年内美联储的降息幅度是近期市场关注重点，关注本周美国CPI、PPI通胀数据表现，贵金属价格或维持区间震荡。</w:t>
      </w:r>
    </w:p>
    <w:p>
      <w:pPr>
        <w:ind w:left="630" w:leftChars="300"/>
        <w:rPr>
          <w:rFonts w:hint="eastAsia" w:ascii="Times New Roman" w:hAnsi="Times New Roman" w:eastAsia="楷体"/>
          <w:color w:val="000000" w:themeColor="text1"/>
          <w:sz w:val="24"/>
          <w:szCs w:val="24"/>
          <w14:textFill>
            <w14:solidFill>
              <w14:schemeClr w14:val="tx1"/>
            </w14:solidFill>
          </w14:textFill>
        </w:rPr>
      </w:pPr>
    </w:p>
    <w:p>
      <w:pPr>
        <w:pBdr>
          <w:top w:val="single" w:color="auto" w:sz="4" w:space="0"/>
        </w:pBdr>
        <w:outlineLvl w:val="0"/>
        <w:rPr>
          <w:rFonts w:ascii="Times New Roman" w:hAnsi="Times New Roman" w:eastAsia="楷体"/>
          <w:b/>
          <w:color w:val="823C0B"/>
          <w:sz w:val="30"/>
          <w:szCs w:val="30"/>
        </w:rPr>
      </w:pPr>
      <w:bookmarkStart w:id="10" w:name="_Toc3096"/>
      <w:bookmarkStart w:id="11" w:name="金属"/>
      <w:bookmarkStart w:id="12" w:name="_Toc20891"/>
      <w:bookmarkStart w:id="13" w:name="_Toc23363"/>
      <w:bookmarkStart w:id="14" w:name="农产品"/>
      <w:r>
        <w:rPr>
          <w:rFonts w:hint="eastAsia" w:ascii="Times New Roman" w:hAnsi="Times New Roman" w:eastAsia="楷体"/>
          <w:b/>
          <w:color w:val="823C0B"/>
          <w:sz w:val="30"/>
          <w:szCs w:val="30"/>
        </w:rPr>
        <w:t>[金属]</w:t>
      </w:r>
      <w:bookmarkEnd w:id="10"/>
      <w:bookmarkEnd w:id="11"/>
      <w:bookmarkEnd w:id="12"/>
      <w:bookmarkEnd w:id="13"/>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5" w:name="_Toc26532"/>
      <w:bookmarkStart w:id="16" w:name="_Toc27831"/>
      <w:bookmarkStart w:id="17" w:name="_Toc5371"/>
      <w:r>
        <w:rPr>
          <w:rFonts w:hint="eastAsia" w:ascii="楷体" w:hAnsi="楷体" w:eastAsia="楷体"/>
          <w:b/>
          <w:color w:val="000000" w:themeColor="text1"/>
          <w:sz w:val="24"/>
          <w:szCs w:val="24"/>
          <w14:textFill>
            <w14:solidFill>
              <w14:schemeClr w14:val="tx1"/>
            </w14:solidFill>
          </w14:textFill>
        </w:rPr>
        <w:t>碳酸锂：8月碳酸锂产量环比下行，期价低位反弹</w:t>
      </w:r>
      <w:bookmarkEnd w:id="15"/>
    </w:p>
    <w:bookmarkEnd w:id="16"/>
    <w:bookmarkEnd w:id="17"/>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昨日期价盘初横盘运行，尾盘低位反弹，11合约收涨3.39%至73150元/吨。8月国内碳酸锂产量61330吨，环比减6%，同比增36%。分项而言，锂辉石提锂产量环比减7%，锂云母提锂产量持平；盐湖提锂产量环比减3%，回收提锂产量环比减17%。近期锂价下行，锂精矿价格低于多数澳矿完全成本、后续澳矿或陆续减产。下游材料企业9月排产向好，客供比例较大，采购偏谨慎。库存高位去化，后续供需过剩幅度缓和，锂盐企业面临产能出清压力，短线谨慎观望，关注下游传统旺季备库需求释放情况。</w:t>
      </w:r>
    </w:p>
    <w:p>
      <w:pPr>
        <w:ind w:firstLine="480" w:firstLineChars="200"/>
        <w:rPr>
          <w:rFonts w:ascii="楷体" w:hAnsi="楷体" w:eastAsia="楷体"/>
          <w:bCs/>
          <w:sz w:val="24"/>
          <w:szCs w:val="24"/>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18" w:name="_Toc6247"/>
      <w:bookmarkStart w:id="19" w:name="_Toc8897"/>
      <w:bookmarkStart w:id="20" w:name="_Toc3136"/>
      <w:r>
        <w:rPr>
          <w:rFonts w:hint="eastAsia" w:ascii="楷体" w:hAnsi="楷体" w:eastAsia="楷体"/>
          <w:b/>
          <w:color w:val="000000" w:themeColor="text1"/>
          <w:sz w:val="24"/>
          <w:szCs w:val="24"/>
          <w14:textFill>
            <w14:solidFill>
              <w14:schemeClr w14:val="tx1"/>
            </w14:solidFill>
          </w14:textFill>
        </w:rPr>
        <w:t>铝：</w:t>
      </w:r>
      <w:bookmarkEnd w:id="18"/>
      <w:bookmarkEnd w:id="19"/>
      <w:r>
        <w:rPr>
          <w:rFonts w:hint="eastAsia" w:ascii="楷体" w:hAnsi="楷体" w:eastAsia="楷体"/>
          <w:b/>
          <w:color w:val="000000" w:themeColor="text1"/>
          <w:sz w:val="24"/>
          <w:szCs w:val="24"/>
          <w14:textFill>
            <w14:solidFill>
              <w14:schemeClr w14:val="tx1"/>
            </w14:solidFill>
          </w14:textFill>
        </w:rPr>
        <w:t>万九支撑上下盘整</w:t>
      </w:r>
      <w:bookmarkEnd w:id="20"/>
      <w:r>
        <w:rPr>
          <w:rFonts w:hint="eastAsia" w:ascii="楷体" w:hAnsi="楷体" w:eastAsia="楷体"/>
          <w:b/>
          <w:color w:val="000000" w:themeColor="text1"/>
          <w:sz w:val="24"/>
          <w:szCs w:val="24"/>
          <w14:textFill>
            <w14:solidFill>
              <w14:schemeClr w14:val="tx1"/>
            </w14:solidFill>
          </w14:textFill>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中美制造业数据表现疲软，美国非农数据表现低于预期，全球经济衰退担忧情绪仍存，市场内情悲观情绪未完全转向。几内亚雨季影响明显，截至上周国内到港铝土矿减少约计48%，澳大利亚铝土矿出港量也有20%的下降，近月上游供应仍维持紧张格局，氧化铝现货报价坚挺强化电解铝成本支撑，电解铝运行产能保持高位，部分地区高温限电但对铝产产能影响不大，下游加工企业开工率小幅回升，临近旺季仍有消费改善预期，交易所库存+社会库存周度小幅去库。宏观情绪压力难言已止，基本面来看，利多面有原料紧缺支撑，下游需求预期改善，利空面有电解铝生产产出保持高位，库存高位未有顺去库表现，铝价上下有限，预计短期价格在万九附近保存震荡。</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1" w:name="_Toc10656"/>
      <w:r>
        <w:rPr>
          <w:rFonts w:hint="eastAsia" w:ascii="楷体" w:hAnsi="楷体" w:eastAsia="楷体"/>
          <w:b/>
          <w:color w:val="000000" w:themeColor="text1"/>
          <w:sz w:val="24"/>
          <w:szCs w:val="24"/>
          <w14:textFill>
            <w14:solidFill>
              <w14:schemeClr w14:val="tx1"/>
            </w14:solidFill>
          </w14:textFill>
        </w:rPr>
        <w:t>锌：锌价弱向盘整</w:t>
      </w:r>
      <w:bookmarkEnd w:id="21"/>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美国就业数据降温，全球经济衰退风险仍存，对盘面形成利空压力。锌精矿利润丰厚，近期进口矿盈利窗口打开，锌矿进口补充抬升但低于往年同期水平，国内锌精矿产量持续抬升，中游精炼锌冶炼利润负反馈导致产量萎缩，精炼锌进口窗口间接性开启补充相对有限，14家锌企联合调整冶炼生产产能预计影响产需，下游需求来看，镀锌、锌合金、氧化锌开工疲软，其中锌合金开工相对较好，主因新能源汽车及电子电器以旧换新消费刺激，临近金九银十旺季消费仍有乐观预期支撑，目前锌市维持原料紧张-中游被动减产-下游疲弱状态，后续矿端-冶炼端的利润分配情况或有扭转，等待中游冶炼利润逐步修复，9-10月旺季消费预期需求发生改善。基本面变化较小，宏观引领盘面走势，锌价趋弱运行，建议先观望为主。</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2" w:name="_Toc13979"/>
      <w:r>
        <w:rPr>
          <w:rFonts w:hint="eastAsia" w:ascii="楷体" w:hAnsi="楷体" w:eastAsia="楷体"/>
          <w:b/>
          <w:color w:val="000000" w:themeColor="text1"/>
          <w:sz w:val="24"/>
          <w:szCs w:val="24"/>
          <w:lang w:val="en-US" w:eastAsia="zh-CN"/>
          <w14:textFill>
            <w14:solidFill>
              <w14:schemeClr w14:val="tx1"/>
            </w14:solidFill>
          </w14:textFill>
        </w:rPr>
        <w:t>铜</w:t>
      </w:r>
      <w:r>
        <w:rPr>
          <w:rFonts w:hint="eastAsia" w:ascii="楷体" w:hAnsi="楷体" w:eastAsia="楷体"/>
          <w:b/>
          <w:color w:val="000000" w:themeColor="text1"/>
          <w:sz w:val="24"/>
          <w:szCs w:val="24"/>
          <w14:textFill>
            <w14:solidFill>
              <w14:schemeClr w14:val="tx1"/>
            </w14:solidFill>
          </w14:textFill>
        </w:rPr>
        <w:t>：短期价格维持承压运行，关注宏观情绪变化</w:t>
      </w:r>
      <w:bookmarkEnd w:id="22"/>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(1)库存：9月9日，SHFE仓单库存109601吨，减4184吨；LME仓单库存316450吨，减1125吨。</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(2)精废价差：9月9日，Mysteel精废价差865，收窄234。目前价差在合理价差1419之下。</w:t>
      </w:r>
    </w:p>
    <w:p>
      <w:pPr>
        <w:ind w:left="630" w:leftChars="300"/>
        <w:rPr>
          <w:rFonts w:hint="eastAsia" w:ascii="楷体" w:hAnsi="楷体" w:eastAsia="楷体"/>
          <w:color w:val="000000" w:themeColor="text1"/>
          <w:sz w:val="24"/>
          <w:szCs w:val="24"/>
          <w14:textFill>
            <w14:solidFill>
              <w14:schemeClr w14:val="tx1"/>
            </w14:solidFill>
          </w14:textFill>
        </w:rPr>
      </w:pP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综述：宏观面，全球经济仍在继续走弱，成为压制铜价主要利空，美国8月非农数据喜忧参半，前值6-7月数据被大幅下修，市场进一步上调了美联储年内降息幅度的预期，当前市场更倾向于认为未来降息是“应对式”而非“预防式”。基本面，铜价下跌后刺激部分精铜消费，库存去化节奏再次加快，且铜矿TC依旧维持低位，粗铜加工费大幅下挫，冶炼厂原料供应风险仍存，对价格形成一定支撑。短期关注宏观情绪的变化，主波动参考 70000-73000。</w:t>
      </w:r>
    </w:p>
    <w:p>
      <w:pPr>
        <w:ind w:left="630" w:leftChars="300"/>
        <w:rPr>
          <w:rFonts w:hint="eastAsia"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3" w:name="_Toc3146"/>
      <w:r>
        <w:rPr>
          <w:rFonts w:hint="eastAsia" w:ascii="楷体" w:hAnsi="楷体" w:eastAsia="楷体"/>
          <w:b/>
          <w:color w:val="000000" w:themeColor="text1"/>
          <w:sz w:val="24"/>
          <w:szCs w:val="24"/>
          <w14:textFill>
            <w14:solidFill>
              <w14:schemeClr w14:val="tx1"/>
            </w14:solidFill>
          </w14:textFill>
        </w:rPr>
        <w:t>镍：宏观与基本面共振，镍价或偏弱运行</w:t>
      </w:r>
      <w:bookmarkEnd w:id="23"/>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宏观方面，中美8月制造业PMI数据表现疲软，美国8月非农就业数据低于预期，短期内宏观氛围或继续偏空。镍矿方面，近日印尼天气有所好转，若后续印尼镍矿供应放量，那么镍不锈钢产业链成本支撑将减弱。硫酸镍方面，虽然目前硫酸镍库存偏低，但由于中间品价格跟随镍价下调，成本支撑减弱，加上下游补库需求有限，硫酸镍或窄幅偏弱运行。综合而言，短期市场氛围或继续偏空，镍维持趋势性累库，过剩压力不改，对镍价维持震荡偏弱观点，后市关注宏观面指示及印尼镍矿供应变化。</w:t>
      </w:r>
    </w:p>
    <w:p>
      <w:pPr>
        <w:rPr>
          <w:rFonts w:ascii="楷体" w:hAnsi="楷体" w:eastAsia="楷体"/>
          <w:color w:val="000000" w:themeColor="text1"/>
          <w:sz w:val="24"/>
          <w:szCs w:val="24"/>
          <w14:textFill>
            <w14:solidFill>
              <w14:schemeClr w14:val="tx1"/>
            </w14:solidFill>
          </w14:textFill>
        </w:rPr>
      </w:pPr>
    </w:p>
    <w:p>
      <w:pPr>
        <w:ind w:left="420" w:leftChars="200"/>
        <w:outlineLvl w:val="1"/>
        <w:rPr>
          <w:rFonts w:hint="eastAsia" w:ascii="楷体" w:hAnsi="楷体" w:eastAsia="楷体"/>
          <w:b/>
          <w:color w:val="000000" w:themeColor="text1"/>
          <w:sz w:val="24"/>
          <w:szCs w:val="24"/>
          <w14:textFill>
            <w14:solidFill>
              <w14:schemeClr w14:val="tx1"/>
            </w14:solidFill>
          </w14:textFill>
        </w:rPr>
      </w:pPr>
      <w:bookmarkStart w:id="24" w:name="_Toc20872"/>
      <w:r>
        <w:rPr>
          <w:rFonts w:hint="eastAsia" w:ascii="楷体" w:hAnsi="楷体" w:eastAsia="楷体"/>
          <w:b/>
          <w:color w:val="000000" w:themeColor="text1"/>
          <w:sz w:val="24"/>
          <w:szCs w:val="24"/>
          <w14:textFill>
            <w14:solidFill>
              <w14:schemeClr w14:val="tx1"/>
            </w14:solidFill>
          </w14:textFill>
        </w:rPr>
        <w:t>不锈钢：低位震荡，等待供需实际改善</w:t>
      </w:r>
      <w:bookmarkEnd w:id="24"/>
    </w:p>
    <w:p>
      <w:pPr>
        <w:ind w:left="630" w:leftChars="300"/>
        <w:rPr>
          <w:rFonts w:ascii="楷体" w:hAnsi="楷体" w:eastAsia="楷体"/>
          <w:color w:val="000000" w:themeColor="text1"/>
          <w:sz w:val="24"/>
          <w:szCs w:val="24"/>
          <w14:textFill>
            <w14:solidFill>
              <w14:schemeClr w14:val="tx1"/>
            </w14:solidFill>
          </w14:textFill>
        </w:rPr>
      </w:pPr>
      <w:r>
        <w:rPr>
          <w:rFonts w:hint="eastAsia" w:ascii="楷体" w:hAnsi="楷体" w:eastAsia="楷体"/>
          <w:color w:val="000000" w:themeColor="text1"/>
          <w:sz w:val="24"/>
          <w:szCs w:val="24"/>
          <w14:textFill>
            <w14:solidFill>
              <w14:schemeClr w14:val="tx1"/>
            </w14:solidFill>
          </w14:textFill>
        </w:rPr>
        <w:t>镍矿方面，近日印尼天气有所好转，警惕印尼镍矿供应宽松带来利空风险。镍铁方面，下游钢厂亏损加重，负反馈使镍铁价格承压，最新华南某钢厂高镍铁采购价下调至990元/镍（到厂含税），成交数万吨。供需方面，低价成交量级有限，金九以来旺季行情仍未启动，下游信心低落，而不锈钢厂排产仍处于高位，基本面弱势持续对不锈钢价格施压。库存方面，钢厂为挺价而控制到货节奏，加之上周刚需补库氛围略有好转，上周社会库存下降2.5%至106.2万吨。综合而言，宏观情绪偏空，需求不见明显起色，预计不锈钢期价低位震荡，期价企稳反弹需要看到供需实际改善。</w:t>
      </w:r>
    </w:p>
    <w:p>
      <w:pPr>
        <w:rPr>
          <w:rFonts w:ascii="楷体" w:hAnsi="楷体" w:eastAsia="楷体"/>
          <w:bCs/>
          <w:sz w:val="24"/>
          <w:szCs w:val="24"/>
        </w:rPr>
      </w:pPr>
    </w:p>
    <w:p>
      <w:pPr>
        <w:ind w:left="420" w:leftChars="200"/>
        <w:outlineLvl w:val="1"/>
        <w:rPr>
          <w:rFonts w:ascii="楷体" w:hAnsi="楷体" w:eastAsia="楷体"/>
          <w:b/>
          <w:sz w:val="24"/>
          <w:szCs w:val="24"/>
        </w:rPr>
      </w:pPr>
      <w:bookmarkStart w:id="25" w:name="_Toc14939"/>
      <w:r>
        <w:rPr>
          <w:rFonts w:hint="eastAsia" w:ascii="楷体" w:hAnsi="楷体" w:eastAsia="楷体"/>
          <w:b/>
          <w:color w:val="000000" w:themeColor="text1"/>
          <w:sz w:val="24"/>
          <w:szCs w:val="24"/>
          <w14:textFill>
            <w14:solidFill>
              <w14:schemeClr w14:val="tx1"/>
            </w14:solidFill>
          </w14:textFill>
        </w:rPr>
        <w:t>工业硅：</w:t>
      </w:r>
      <w:r>
        <w:rPr>
          <w:rFonts w:hint="eastAsia" w:ascii="楷体" w:hAnsi="楷体" w:eastAsia="楷体"/>
          <w:b/>
          <w:sz w:val="24"/>
          <w:szCs w:val="24"/>
        </w:rPr>
        <w:t>宏观情绪降温，反弹压力仍存</w:t>
      </w:r>
      <w:bookmarkEnd w:id="25"/>
    </w:p>
    <w:p>
      <w:pPr>
        <w:ind w:left="630" w:leftChars="300"/>
        <w:rPr>
          <w:rFonts w:ascii="楷体" w:hAnsi="楷体" w:eastAsia="楷体"/>
          <w:sz w:val="24"/>
          <w:szCs w:val="24"/>
        </w:rPr>
      </w:pPr>
      <w:r>
        <w:rPr>
          <w:rFonts w:hint="eastAsia" w:ascii="楷体" w:hAnsi="楷体" w:eastAsia="楷体"/>
          <w:sz w:val="24"/>
          <w:szCs w:val="24"/>
        </w:rPr>
        <w:t>9月9日，Si2411主力合约呈反弹走势，收盘价9760元/吨，较上一收盘价涨跌幅+1.35%。从宏观面来看，继中美制造业数据均呈现疲弱态势后，8月美国非农就业人口数据不及预期，使得工业品周五夜盘整体承压。从基本面来看，由于供应持续减产，旺季下游需求仍有一定改善预期，叠加上周大厂连续上调报价，基本面有所改善，进一步下跌空间或有限，但宽松格局并未扭转，特别现货涨价后，下游接受度仍相对有限，叠加宏观情绪降温，反弹压力仍存。因此，短期盘面暂以低位震荡看待，主力合约参考区间（9300，10200）。策略上，恢复波段操作思路。</w:t>
      </w:r>
    </w:p>
    <w:p>
      <w:pPr>
        <w:ind w:firstLine="420" w:firstLineChars="200"/>
        <w:rPr>
          <w:rFonts w:ascii="Times New Roman" w:hAnsi="Times New Roman" w:eastAsia="楷体"/>
          <w:bCs/>
        </w:rPr>
      </w:pPr>
    </w:p>
    <w:p>
      <w:pPr>
        <w:ind w:left="420" w:leftChars="200"/>
        <w:outlineLvl w:val="1"/>
        <w:rPr>
          <w:rFonts w:ascii="楷体" w:hAnsi="楷体" w:eastAsia="楷体"/>
          <w:b/>
          <w:sz w:val="24"/>
          <w:szCs w:val="24"/>
        </w:rPr>
      </w:pPr>
      <w:bookmarkStart w:id="26" w:name="_Toc29678"/>
      <w:r>
        <w:rPr>
          <w:rFonts w:hint="eastAsia" w:ascii="楷体" w:hAnsi="楷体" w:eastAsia="楷体"/>
          <w:b/>
          <w:color w:val="000000" w:themeColor="text1"/>
          <w:sz w:val="24"/>
          <w:szCs w:val="24"/>
          <w14:textFill>
            <w14:solidFill>
              <w14:schemeClr w14:val="tx1"/>
            </w14:solidFill>
          </w14:textFill>
        </w:rPr>
        <w:t>螺纹钢：宏观情绪偏弱，反弹压力仍存</w:t>
      </w:r>
      <w:bookmarkEnd w:id="26"/>
    </w:p>
    <w:p>
      <w:pPr>
        <w:ind w:left="630" w:leftChars="300"/>
        <w:rPr>
          <w:rFonts w:ascii="楷体" w:hAnsi="楷体" w:eastAsia="楷体"/>
          <w:sz w:val="24"/>
          <w:szCs w:val="24"/>
        </w:rPr>
      </w:pPr>
      <w:r>
        <w:rPr>
          <w:rFonts w:hint="eastAsia" w:ascii="楷体" w:hAnsi="楷体" w:eastAsia="楷体"/>
          <w:sz w:val="24"/>
          <w:szCs w:val="24"/>
        </w:rPr>
        <w:t>从宏观面来看，继中美制造业数据均呈现疲弱态势后，8月美国非农就业人口数据不及预期，宏观情绪持续降温，使得工业品周五夜盘整体承压。从基本面来看，受盘面继续放量下行影响，下游采购较为谨慎，进入传统旺季后现货市场整体依旧偏弱，同时铁矿石大幅下跌，成本端存在下降预期，若需求未见明显回暖，盘面反弹压力仍纯。</w:t>
      </w:r>
    </w:p>
    <w:p>
      <w:pPr>
        <w:ind w:firstLine="420" w:firstLineChars="200"/>
        <w:rPr>
          <w:rFonts w:ascii="Times New Roman" w:hAnsi="Times New Roman" w:eastAsia="楷体"/>
          <w:bCs/>
        </w:rPr>
      </w:pPr>
    </w:p>
    <w:p>
      <w:pPr>
        <w:pBdr>
          <w:top w:val="single" w:color="auto" w:sz="4" w:space="0"/>
        </w:pBdr>
        <w:outlineLvl w:val="0"/>
        <w:rPr>
          <w:rFonts w:ascii="Times New Roman" w:hAnsi="Times New Roman" w:eastAsia="楷体"/>
          <w:b/>
          <w:color w:val="823C0B"/>
          <w:sz w:val="30"/>
          <w:szCs w:val="30"/>
        </w:rPr>
      </w:pPr>
      <w:bookmarkStart w:id="27" w:name="化工"/>
      <w:r>
        <w:rPr>
          <w:rFonts w:hint="eastAsia" w:ascii="Times New Roman" w:hAnsi="Times New Roman" w:eastAsia="楷体"/>
          <w:b/>
          <w:color w:val="823C0B"/>
          <w:sz w:val="30"/>
          <w:szCs w:val="30"/>
        </w:rPr>
        <w:t xml:space="preserve"> </w:t>
      </w:r>
      <w:bookmarkStart w:id="28" w:name="_Toc20990"/>
      <w:r>
        <w:rPr>
          <w:rFonts w:hint="eastAsia" w:ascii="Times New Roman" w:hAnsi="Times New Roman" w:eastAsia="楷体"/>
          <w:b/>
          <w:color w:val="823C0B"/>
          <w:sz w:val="30"/>
          <w:szCs w:val="30"/>
        </w:rPr>
        <w:t>[化工]</w:t>
      </w:r>
      <w:bookmarkEnd w:id="27"/>
      <w:bookmarkEnd w:id="28"/>
    </w:p>
    <w:p>
      <w:pPr>
        <w:ind w:firstLine="482" w:firstLineChars="200"/>
        <w:outlineLvl w:val="1"/>
        <w:rPr>
          <w:rFonts w:ascii="楷体" w:hAnsi="楷体" w:eastAsia="楷体"/>
          <w:b/>
          <w:sz w:val="24"/>
          <w:szCs w:val="24"/>
        </w:rPr>
      </w:pPr>
      <w:bookmarkStart w:id="29" w:name="_Toc8868"/>
      <w:r>
        <w:rPr>
          <w:rFonts w:hint="eastAsia" w:ascii="Times New Roman" w:hAnsi="Times New Roman" w:eastAsia="楷体"/>
          <w:b/>
          <w:color w:val="000000" w:themeColor="text1"/>
          <w:sz w:val="24"/>
          <w:szCs w:val="24"/>
          <w14:textFill>
            <w14:solidFill>
              <w14:schemeClr w14:val="tx1"/>
            </w14:solidFill>
          </w14:textFill>
        </w:rPr>
        <w:t>天然橡胶:</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台风天气对云南产区短期影响较大 天胶价格延续拉涨</w:t>
      </w:r>
      <w:bookmarkEnd w:id="29"/>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点评：近期盘面延续拉涨，主要原因是青岛库存大幅降库，海南、云南产区受台风影响到市场供应，市场拉涨心态较浓。目前看，产云南台风“魔羯”早前抵达云南产区，其中作用于勐腊县影响较大，于前日下午到昨日上午暴雨持续，部分加工厂已进入停工停产防风抗汛状态，与此同时，泰国宋卡原料价格持续上涨，为天胶提供较强底部支撑。需求端来看，下游轮胎企业开工率高位维持，半钢胎在海外出口需求旺盛下，开工率高位持稳，对原料补库积极性提高，提振天胶消费。全钢胎消费稳中转好。终端汽车方面，9月车企优惠政策延续。根据工信部最新公布的新车上市名录里面可以看到，多家车企的新车型与换代车型将于近期发售，亦将刺激未来汽车销售增长预期。整体看，近期海外原料价格保持高位，同时云南地区极端天气或导致交割品不足等问题。中长线来看，全年天然橡胶依旧处于供小于求的供需格局，建议待节后回调到位后关注逢低做多的机会。</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0" w:name="_Toc3747"/>
      <w:r>
        <w:rPr>
          <w:rFonts w:hint="eastAsia" w:ascii="Times New Roman" w:hAnsi="Times New Roman" w:eastAsia="楷体"/>
          <w:b/>
          <w:color w:val="000000" w:themeColor="text1"/>
          <w:sz w:val="24"/>
          <w:szCs w:val="24"/>
          <w14:textFill>
            <w14:solidFill>
              <w14:schemeClr w14:val="tx1"/>
            </w14:solidFill>
          </w14:textFill>
        </w:rPr>
        <w:t>聚烯烃：需求未见明显起色 聚烯烃跟随原油价格走势为主</w:t>
      </w:r>
      <w:bookmarkEnd w:id="30"/>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ascii="楷体" w:hAnsi="楷体" w:eastAsia="楷体"/>
          <w:sz w:val="24"/>
          <w:szCs w:val="24"/>
        </w:rPr>
      </w:pPr>
      <w:r>
        <w:rPr>
          <w:rFonts w:hint="eastAsia" w:ascii="楷体" w:hAnsi="楷体" w:eastAsia="楷体"/>
          <w:sz w:val="24"/>
          <w:szCs w:val="24"/>
        </w:rPr>
        <w:t>PE方面，成本端油制生产利润较今年一季度改善明显，成本支撑减弱，供应端开工回落，短期临检偏多，后市开工预计小幅震荡。需求端，下游整体需求有回暖预期，预计后市供需均有所回升。PP方面，成本支撑减弱。供应端开工率低位回升，下周久泰能源等5套装置计划重启，检修暂无，供应环比增加。需求端，下游需求暂无明显好转，刚需采购为主。整体看，聚烯烃成本支撑减弱，需求暂无明显好转，且库存中性偏高，预计跟随成本端与工业品波动为主。</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1" w:name="_Toc5505"/>
      <w:r>
        <w:rPr>
          <w:rFonts w:hint="eastAsia" w:ascii="Times New Roman" w:hAnsi="Times New Roman" w:eastAsia="楷体"/>
          <w:b/>
          <w:color w:val="000000" w:themeColor="text1"/>
          <w:sz w:val="24"/>
          <w:szCs w:val="24"/>
          <w14:textFill>
            <w14:solidFill>
              <w14:schemeClr w14:val="tx1"/>
            </w14:solidFill>
          </w14:textFill>
        </w:rPr>
        <w:t>原油：供应过剩阴霾下，油价短期反弹寻支撑</w:t>
      </w:r>
      <w:bookmarkEnd w:id="31"/>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WTI原油主力合约小幅反弹0.94%，收报68.80美元/桶；布伦特原油主力合约微涨0.60%，报71.94美元/桶；中国原油期货SC主力合约夜盘微涨0.08%，报512.4元/桶。</w:t>
      </w:r>
    </w:p>
    <w:p>
      <w:pPr>
        <w:ind w:left="630" w:leftChars="300"/>
        <w:rPr>
          <w:rFonts w:hint="eastAsia" w:ascii="楷体" w:hAnsi="楷体" w:eastAsia="楷体"/>
          <w:sz w:val="24"/>
          <w:szCs w:val="24"/>
        </w:rPr>
      </w:pPr>
      <w:r>
        <w:rPr>
          <w:rFonts w:hint="eastAsia" w:ascii="楷体" w:hAnsi="楷体" w:eastAsia="楷体"/>
          <w:sz w:val="24"/>
          <w:szCs w:val="24"/>
        </w:rPr>
        <w:t>在亚太石油大会（APPEC）新加坡首日，市场氛围悲观，维多、托克及贡沃尔等石油巨头均指出市场供应过剩，托克预警油价或迅速跌至60美元/桶。全球经济与能源需求忧虑加剧，加之利比亚复产预期与非农数据不佳，共同压制油价，使美油创2023年7月新低，布油则刷新2022年以来低点。尽管美国原油去库与欧佩克+减产政策延期带来利好，但宏观担忧主导市场，油价持续承压。不过，利空因素逐步释放，产油国减产延长及美国去库存或为油价短期反弹提供动力。</w:t>
      </w:r>
    </w:p>
    <w:p>
      <w:pPr>
        <w:ind w:left="630" w:leftChars="300"/>
        <w:rPr>
          <w:rFonts w:hint="eastAsia" w:ascii="楷体" w:hAnsi="楷体" w:eastAsia="楷体"/>
          <w:sz w:val="24"/>
          <w:szCs w:val="24"/>
        </w:rPr>
      </w:pPr>
      <w:r>
        <w:rPr>
          <w:rFonts w:hint="eastAsia" w:ascii="楷体" w:hAnsi="楷体" w:eastAsia="楷体"/>
          <w:sz w:val="24"/>
          <w:szCs w:val="24"/>
        </w:rPr>
        <w:t>市场焦点转移至关键前景报告后，油价开启反弹，部分收复上周跌幅，布油回升至72美元/桶，WTI原油亦突破68美元。近期油价暴跌主要因经济放缓迹象及供需失衡所致。此外，美国能源部宣布为战略石油储备购入340多万桶原油，累计购买量已达5000多万桶，平均成本76美元/桶，此举为油价提供了一定支撑。WTI原油主力合约持续下跌，2023年低点63.64美元/桶为短期的强支撑；布伦特原油主力合约不断下跌，68.20美元/桶为2023年低点为下一个重要支撑；国内原油期货主力合约SC2410价格大幅下跌后，2023年低点480.6元/吨为重要支撑。</w:t>
      </w:r>
    </w:p>
    <w:p>
      <w:pPr>
        <w:ind w:left="630" w:leftChars="300"/>
        <w:rPr>
          <w:rFonts w:hint="eastAsia" w:ascii="楷体" w:hAnsi="楷体" w:eastAsia="楷体"/>
          <w:sz w:val="24"/>
          <w:szCs w:val="24"/>
          <w:lang w:val="en-US" w:eastAsia="zh-CN"/>
        </w:rPr>
      </w:pPr>
    </w:p>
    <w:p>
      <w:pPr>
        <w:ind w:firstLine="482" w:firstLineChars="200"/>
        <w:outlineLvl w:val="1"/>
        <w:rPr>
          <w:rFonts w:ascii="楷体" w:hAnsi="楷体" w:eastAsia="楷体"/>
          <w:b/>
          <w:sz w:val="24"/>
          <w:szCs w:val="24"/>
        </w:rPr>
      </w:pPr>
      <w:bookmarkStart w:id="32" w:name="_Toc12867"/>
      <w:r>
        <w:rPr>
          <w:rFonts w:hint="eastAsia" w:ascii="Times New Roman" w:hAnsi="Times New Roman" w:eastAsia="楷体"/>
          <w:b/>
          <w:color w:val="000000" w:themeColor="text1"/>
          <w:sz w:val="24"/>
          <w:szCs w:val="24"/>
          <w14:textFill>
            <w14:solidFill>
              <w14:schemeClr w14:val="tx1"/>
            </w14:solidFill>
          </w14:textFill>
        </w:rPr>
        <w:t>燃料油及低硫燃料油：燃料油期货夜盘涨跌互现，市场承压但存短期反弹需求</w:t>
      </w:r>
      <w:bookmarkEnd w:id="32"/>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燃料油主力合约夜盘微涨0.04%，报2732元/吨；低硫燃料油主力合约价格夜盘下跌1.52%，报3890元/吨，出现补跌；价差为1158元/吨，有所缩窄。</w:t>
      </w:r>
    </w:p>
    <w:p>
      <w:pPr>
        <w:ind w:left="630" w:leftChars="300"/>
        <w:rPr>
          <w:rFonts w:hint="eastAsia" w:ascii="楷体" w:hAnsi="楷体" w:eastAsia="楷体"/>
          <w:sz w:val="24"/>
          <w:szCs w:val="24"/>
        </w:rPr>
      </w:pPr>
      <w:r>
        <w:rPr>
          <w:rFonts w:hint="eastAsia" w:ascii="楷体" w:hAnsi="楷体" w:eastAsia="楷体"/>
          <w:sz w:val="24"/>
          <w:szCs w:val="24"/>
        </w:rPr>
        <w:t>近期，山东地炼汽柴油产销比均有所提升，汽油因居民短途出行需求稳定而缺乏显著增量，加之原油价格下跌导致市场操作谨慎，成交保持平淡。柴油市场虽受9月工程基建活跃度提升带动，但终端补库行为间歇性且强度不及预期，产销比虽有上涨但仍未实现平衡。</w:t>
      </w:r>
    </w:p>
    <w:p>
      <w:pPr>
        <w:ind w:left="630" w:leftChars="300"/>
        <w:rPr>
          <w:rFonts w:hint="eastAsia" w:ascii="楷体" w:hAnsi="楷体" w:eastAsia="楷体"/>
          <w:sz w:val="24"/>
          <w:szCs w:val="24"/>
        </w:rPr>
      </w:pPr>
      <w:r>
        <w:rPr>
          <w:rFonts w:hint="eastAsia" w:ascii="楷体" w:hAnsi="楷体" w:eastAsia="楷体"/>
          <w:sz w:val="24"/>
          <w:szCs w:val="24"/>
        </w:rPr>
        <w:t>9月6日，亚洲低硫燃料油市场保持稳定，前一天因下游需求稳健及即期供应有限，船燃级别炼油利润达到6个月高点。新加坡重质燃料油库存增至两周新高，主要因出口量减少所致。具体来看，新加坡燃料油出口量大幅下滑，但对中国出口环比增长显著，而对孟加拉国和菲律宾的出口则有所减少。</w:t>
      </w:r>
    </w:p>
    <w:p>
      <w:pPr>
        <w:ind w:left="630" w:leftChars="300"/>
        <w:rPr>
          <w:rFonts w:hint="eastAsia" w:ascii="楷体" w:hAnsi="楷体" w:eastAsia="楷体"/>
          <w:sz w:val="24"/>
          <w:szCs w:val="24"/>
        </w:rPr>
      </w:pPr>
      <w:r>
        <w:rPr>
          <w:rFonts w:hint="eastAsia" w:ascii="楷体" w:hAnsi="楷体" w:eastAsia="楷体"/>
          <w:sz w:val="24"/>
          <w:szCs w:val="24"/>
        </w:rPr>
        <w:t>燃料油市场持续受到原油创新低的影响，承压运行，预计短期内将维持弱势。不过，原油价格昨夜出现小幅反弹，显示出一定的企稳迹象。由于前期跌幅较大，短期内燃料油市场存在一定的反弹需求，但整体弱势格局或难以迅速改变。</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3" w:name="_Toc21015"/>
      <w:r>
        <w:rPr>
          <w:rFonts w:hint="eastAsia" w:ascii="Times New Roman" w:hAnsi="Times New Roman" w:eastAsia="楷体"/>
          <w:b/>
          <w:color w:val="000000" w:themeColor="text1"/>
          <w:sz w:val="24"/>
          <w:szCs w:val="24"/>
          <w14:textFill>
            <w14:solidFill>
              <w14:schemeClr w14:val="tx1"/>
            </w14:solidFill>
          </w14:textFill>
        </w:rPr>
        <w:t>沥青：沥青期货夜盘大跌，现货市场窄幅调整</w:t>
      </w:r>
      <w:bookmarkEnd w:id="33"/>
      <w:r>
        <w:rPr>
          <w:rFonts w:hint="eastAsia" w:ascii="Times New Roman" w:hAnsi="Times New Roman" w:eastAsia="楷体"/>
          <w:b/>
          <w:color w:val="000000" w:themeColor="text1"/>
          <w:sz w:val="24"/>
          <w:szCs w:val="24"/>
          <w14:textFill>
            <w14:solidFill>
              <w14:schemeClr w14:val="tx1"/>
            </w14:solidFill>
          </w14:textFill>
        </w:rPr>
        <w:t xml:space="preserve"> </w:t>
      </w:r>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沥青期货主力合约BU2410夜盘大跌3.12%，收3109元/吨。</w:t>
      </w:r>
    </w:p>
    <w:p>
      <w:pPr>
        <w:ind w:left="630" w:leftChars="300"/>
        <w:rPr>
          <w:rFonts w:hint="eastAsia" w:ascii="楷体" w:hAnsi="楷体" w:eastAsia="楷体"/>
          <w:sz w:val="24"/>
          <w:szCs w:val="24"/>
        </w:rPr>
      </w:pPr>
      <w:r>
        <w:rPr>
          <w:rFonts w:hint="eastAsia" w:ascii="楷体" w:hAnsi="楷体" w:eastAsia="楷体"/>
          <w:sz w:val="24"/>
          <w:szCs w:val="24"/>
        </w:rPr>
        <w:t>今日，国内沥青市场均价微增至3643元/吨，涨幅仅为1元/吨，显示出市场价格的窄幅调整特征。市场刚需表现平淡，整体现货市场维持稳定运行态势。</w:t>
      </w:r>
    </w:p>
    <w:p>
      <w:pPr>
        <w:ind w:left="630" w:leftChars="300"/>
        <w:rPr>
          <w:rFonts w:hint="eastAsia" w:ascii="楷体" w:hAnsi="楷体" w:eastAsia="楷体"/>
          <w:sz w:val="24"/>
          <w:szCs w:val="24"/>
        </w:rPr>
      </w:pPr>
      <w:r>
        <w:rPr>
          <w:rFonts w:hint="eastAsia" w:ascii="楷体" w:hAnsi="楷体" w:eastAsia="楷体"/>
          <w:sz w:val="24"/>
          <w:szCs w:val="24"/>
        </w:rPr>
        <w:t>本周，国内沥青产量呈现下滑趋势，周度总产量44.27万吨，环比下降2.1%，同比更是大幅减少45.5%。1-9月累计产量也较去年同期减少了19.7%。库存方面，截至9月9日，54家样本厂库库存为99.6万吨，较前一周下降2.2%，而104家社会库库存则为216.9万吨，减少2.6%。库存的去化主要得益于炼厂供应低位、船发为主以及终端需求季节性增加等因素。</w:t>
      </w:r>
    </w:p>
    <w:p>
      <w:pPr>
        <w:ind w:left="630" w:leftChars="300"/>
        <w:rPr>
          <w:rFonts w:hint="eastAsia" w:ascii="楷体" w:hAnsi="楷体" w:eastAsia="楷体"/>
          <w:sz w:val="24"/>
          <w:szCs w:val="24"/>
        </w:rPr>
      </w:pPr>
      <w:r>
        <w:rPr>
          <w:rFonts w:hint="eastAsia" w:ascii="楷体" w:hAnsi="楷体" w:eastAsia="楷体"/>
          <w:sz w:val="24"/>
          <w:szCs w:val="24"/>
        </w:rPr>
        <w:t>今日沥青总产量降至6.1万吨，环比下降4.9%，主要受到华东地区个别炼厂间歇生产和山东部分炼厂停产转产的影响。</w:t>
      </w:r>
    </w:p>
    <w:p>
      <w:pPr>
        <w:ind w:left="630" w:leftChars="300"/>
        <w:rPr>
          <w:rFonts w:hint="eastAsia" w:ascii="楷体" w:hAnsi="楷体" w:eastAsia="楷体"/>
          <w:sz w:val="24"/>
          <w:szCs w:val="24"/>
        </w:rPr>
      </w:pPr>
      <w:r>
        <w:rPr>
          <w:rFonts w:hint="eastAsia" w:ascii="楷体" w:hAnsi="楷体" w:eastAsia="楷体"/>
          <w:sz w:val="24"/>
          <w:szCs w:val="24"/>
        </w:rPr>
        <w:t>尽管原油市场表现弱势，对沥青期货价格构成拖累，但目前沥青价格相对坚挺，并呈现出补跌态势。预计日内沥青期货价格将跟随原油价格有所企稳。</w:t>
      </w:r>
    </w:p>
    <w:p>
      <w:pPr>
        <w:ind w:left="630" w:leftChars="300"/>
        <w:rPr>
          <w:rFonts w:hint="eastAsia" w:ascii="楷体" w:hAnsi="楷体" w:eastAsia="楷体"/>
          <w:sz w:val="24"/>
          <w:szCs w:val="24"/>
        </w:rPr>
      </w:pPr>
    </w:p>
    <w:p>
      <w:pPr>
        <w:ind w:firstLine="482" w:firstLineChars="200"/>
        <w:outlineLvl w:val="1"/>
        <w:rPr>
          <w:rFonts w:ascii="楷体" w:hAnsi="楷体" w:eastAsia="楷体"/>
          <w:b/>
          <w:sz w:val="24"/>
          <w:szCs w:val="24"/>
        </w:rPr>
      </w:pPr>
      <w:bookmarkStart w:id="34" w:name="_Toc12736"/>
      <w:r>
        <w:rPr>
          <w:rFonts w:hint="eastAsia" w:ascii="Times New Roman" w:hAnsi="Times New Roman" w:eastAsia="楷体"/>
          <w:b/>
          <w:color w:val="000000" w:themeColor="text1"/>
          <w:sz w:val="24"/>
          <w:szCs w:val="24"/>
          <w14:textFill>
            <w14:solidFill>
              <w14:schemeClr w14:val="tx1"/>
            </w14:solidFill>
          </w14:textFill>
        </w:rPr>
        <w:t>PTA：宏观&amp;油价趋弱 聚酯走势偏空</w:t>
      </w:r>
      <w:bookmarkEnd w:id="34"/>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sz w:val="24"/>
          <w:szCs w:val="24"/>
        </w:rPr>
      </w:pPr>
      <w:r>
        <w:rPr>
          <w:rFonts w:hint="eastAsia" w:ascii="楷体" w:hAnsi="楷体" w:eastAsia="楷体"/>
          <w:sz w:val="24"/>
          <w:szCs w:val="24"/>
        </w:rPr>
        <w:t>原油及PX方面，夏季石油消费已接近尾声，产油国在政策性松绑后产量将逐渐回升，而实际需求并不见明显改善，油价远期预计承压下行。考虑原油供给端OPEC+或面临增产压力，成本端趋弱可能对PX绝对价格形成拖累。</w:t>
      </w:r>
    </w:p>
    <w:p>
      <w:pPr>
        <w:ind w:left="630" w:leftChars="300"/>
        <w:rPr>
          <w:rFonts w:hint="eastAsia" w:ascii="楷体" w:hAnsi="楷体" w:eastAsia="楷体"/>
          <w:sz w:val="24"/>
          <w:szCs w:val="24"/>
        </w:rPr>
      </w:pPr>
      <w:r>
        <w:rPr>
          <w:rFonts w:hint="eastAsia" w:ascii="楷体" w:hAnsi="楷体" w:eastAsia="楷体"/>
          <w:sz w:val="24"/>
          <w:szCs w:val="24"/>
        </w:rPr>
        <w:t>PTA供需：截止9.5台化120万吨停车，逸盛大化、威联PTA装置降负运行，PTA负荷在82.6%（-5.5%）。从PTA平衡表来看，整体来看下半年PTA偏累库存格局。本周聚酯装置检修或者减产后陆续恢复，国内大陆地区聚酯负荷在87.9%附近。但9月阶段性下游订单不足,涤丝工厂的在库压力缓解比较困难。</w:t>
      </w:r>
    </w:p>
    <w:p>
      <w:pPr>
        <w:ind w:left="630" w:leftChars="300"/>
        <w:rPr>
          <w:rFonts w:hint="eastAsia" w:ascii="楷体" w:hAnsi="楷体" w:eastAsia="楷体"/>
          <w:sz w:val="24"/>
          <w:szCs w:val="24"/>
        </w:rPr>
      </w:pPr>
      <w:r>
        <w:rPr>
          <w:rFonts w:hint="eastAsia" w:ascii="楷体" w:hAnsi="楷体" w:eastAsia="楷体"/>
          <w:sz w:val="24"/>
          <w:szCs w:val="24"/>
        </w:rPr>
        <w:t>综合来看四季度小幅累库供需双增叠加出口方面提振不足，终端纺织品服装内需仍不稳固。</w:t>
      </w:r>
    </w:p>
    <w:p>
      <w:pPr>
        <w:ind w:left="630" w:leftChars="300"/>
        <w:rPr>
          <w:rFonts w:ascii="楷体" w:hAnsi="楷体" w:eastAsia="楷体"/>
          <w:sz w:val="24"/>
          <w:szCs w:val="24"/>
        </w:rPr>
      </w:pPr>
      <w:r>
        <w:rPr>
          <w:rFonts w:hint="eastAsia" w:ascii="楷体" w:hAnsi="楷体" w:eastAsia="楷体"/>
          <w:sz w:val="24"/>
          <w:szCs w:val="24"/>
        </w:rPr>
        <w:t>四季度聚酯开工面临季节性下滑压力，近期聚酯原料价格暴跌对于下游企业来说，库存贬值压力较大，聚酯工厂的PTA采购也变得谨慎，需求疲软难以提振PTA，中长期来看PTA价格能否企稳或者反弹，仍需宏观、成本端的支撑。</w:t>
      </w:r>
    </w:p>
    <w:p>
      <w:pPr>
        <w:rPr>
          <w:rFonts w:hint="eastAsia" w:ascii="楷体" w:hAnsi="楷体" w:eastAsia="楷体"/>
          <w:color w:val="000000" w:themeColor="text1"/>
          <w:sz w:val="24"/>
          <w:szCs w:val="24"/>
          <w14:textFill>
            <w14:solidFill>
              <w14:schemeClr w14:val="tx1"/>
            </w14:solidFill>
          </w14:textFill>
        </w:rPr>
      </w:pPr>
    </w:p>
    <w:p>
      <w:pPr>
        <w:ind w:firstLine="482" w:firstLineChars="200"/>
        <w:outlineLvl w:val="1"/>
        <w:rPr>
          <w:rFonts w:ascii="楷体" w:hAnsi="楷体" w:eastAsia="楷体"/>
          <w:b/>
          <w:sz w:val="24"/>
          <w:szCs w:val="24"/>
        </w:rPr>
      </w:pPr>
      <w:bookmarkStart w:id="35" w:name="_Toc12554"/>
      <w:r>
        <w:rPr>
          <w:rFonts w:hint="eastAsia" w:ascii="Times New Roman" w:hAnsi="Times New Roman" w:eastAsia="楷体"/>
          <w:b/>
          <w:color w:val="000000" w:themeColor="text1"/>
          <w:sz w:val="24"/>
          <w:szCs w:val="24"/>
          <w14:textFill>
            <w14:solidFill>
              <w14:schemeClr w14:val="tx1"/>
            </w14:solidFill>
          </w14:textFill>
        </w:rPr>
        <w:t>乙二醇：跟随成本端补跌 期价偏弱</w:t>
      </w:r>
      <w:bookmarkEnd w:id="35"/>
      <w:r>
        <w:rPr>
          <w:rFonts w:hint="eastAsia" w:ascii="Times New Roman" w:hAnsi="Times New Roman" w:eastAsia="楷体"/>
          <w:b/>
          <w:color w:val="000000" w:themeColor="text1"/>
          <w:sz w:val="24"/>
          <w:szCs w:val="24"/>
          <w:lang w:val="en-US" w:eastAsia="zh-CN"/>
          <w14:textFill>
            <w14:solidFill>
              <w14:schemeClr w14:val="tx1"/>
            </w14:solidFill>
          </w14:textFill>
        </w:rPr>
        <w:t xml:space="preserve">       </w:t>
      </w:r>
      <w:r>
        <w:rPr>
          <w:rFonts w:hint="eastAsia" w:ascii="楷体" w:hAnsi="楷体" w:eastAsia="楷体"/>
          <w:b/>
          <w:sz w:val="24"/>
          <w:szCs w:val="24"/>
        </w:rPr>
        <w:t xml:space="preserve">              </w:t>
      </w:r>
    </w:p>
    <w:p>
      <w:pPr>
        <w:ind w:left="630" w:leftChars="300"/>
        <w:rPr>
          <w:rFonts w:hint="eastAsia" w:ascii="楷体" w:hAnsi="楷体" w:eastAsia="楷体"/>
          <w:color w:val="000000" w:themeColor="text1"/>
          <w:sz w:val="24"/>
          <w:szCs w:val="24"/>
          <w14:textFill>
            <w14:solidFill>
              <w14:schemeClr w14:val="tx1"/>
            </w14:solidFill>
          </w14:textFill>
        </w:rPr>
      </w:pPr>
      <w:r>
        <w:rPr>
          <w:rFonts w:hint="eastAsia" w:ascii="楷体" w:hAnsi="楷体" w:eastAsia="楷体"/>
          <w:sz w:val="24"/>
          <w:szCs w:val="24"/>
        </w:rPr>
        <w:t>供需情况，据CCF 9.9华东主港地区MEG港口库存约62.2万吨附近，环比上期-5.2万吨。乙二醇到港减少，主港显性库存去化明显。截至9月5日，中国大陆地区乙二醇整体开工负荷在64.33%（-4.63%），其中草酸催化加氢法（合成气）制乙二醇开工负荷在63.36%（-5.11%）。截至9月5日，国内大陆地区聚酯负荷在87.9%（+0.9%）附近，聚酯负荷开工小幅回升。终端来看，江浙终端开工继续小幅提升，截止9.6江浙下游加弹、织造、印染负荷分别在91%（+1%）、76%（+1%）、80%(+1)。综合来看，去库+供给端开工下滑，9-10的旺季预期，乙二醇自身供需尚可。但目前聚酯产业链都跟随成本端油价悲观性下跌，乙二醇补跌，短期期价尚未止跌震荡偏弱，仅供参考。</w:t>
      </w:r>
    </w:p>
    <w:p>
      <w:pPr>
        <w:rPr>
          <w:rFonts w:hint="eastAsia" w:ascii="楷体" w:hAnsi="楷体" w:eastAsia="楷体"/>
          <w:color w:val="000000" w:themeColor="text1"/>
          <w:sz w:val="24"/>
          <w:szCs w:val="24"/>
          <w14:textFill>
            <w14:solidFill>
              <w14:schemeClr w14:val="tx1"/>
            </w14:solidFill>
          </w14:textFill>
        </w:rPr>
      </w:pPr>
    </w:p>
    <w:p>
      <w:pPr>
        <w:pBdr>
          <w:top w:val="single" w:color="auto" w:sz="4" w:space="1"/>
        </w:pBdr>
        <w:outlineLvl w:val="0"/>
        <w:rPr>
          <w:rFonts w:ascii="楷体" w:hAnsi="楷体" w:eastAsia="楷体"/>
          <w:bCs/>
          <w:sz w:val="24"/>
          <w:szCs w:val="24"/>
        </w:rPr>
      </w:pPr>
      <w:r>
        <w:rPr>
          <w:rFonts w:hint="eastAsia" w:ascii="Times New Roman" w:hAnsi="Times New Roman" w:eastAsia="楷体"/>
          <w:b/>
          <w:color w:val="823C0B"/>
          <w:sz w:val="30"/>
          <w:szCs w:val="30"/>
        </w:rPr>
        <w:t xml:space="preserve"> </w:t>
      </w:r>
      <w:bookmarkStart w:id="36" w:name="_Toc1353"/>
      <w:r>
        <w:rPr>
          <w:rFonts w:hint="eastAsia" w:ascii="Times New Roman" w:hAnsi="Times New Roman" w:eastAsia="楷体"/>
          <w:b/>
          <w:color w:val="823C0B"/>
          <w:sz w:val="30"/>
          <w:szCs w:val="30"/>
        </w:rPr>
        <w:t>[农产品]</w:t>
      </w:r>
      <w:bookmarkEnd w:id="14"/>
      <w:bookmarkEnd w:id="36"/>
    </w:p>
    <w:p>
      <w:pPr>
        <w:pStyle w:val="93"/>
        <w:spacing w:before="60" w:beforeAutospacing="0" w:after="60" w:afterAutospacing="0"/>
        <w:ind w:left="420" w:leftChars="200"/>
        <w:outlineLvl w:val="1"/>
        <w:rPr>
          <w:rFonts w:hint="eastAsia" w:ascii="楷体" w:hAnsi="楷体" w:eastAsia="楷体"/>
          <w:b/>
        </w:rPr>
      </w:pPr>
      <w:bookmarkStart w:id="37" w:name="_Toc19303"/>
      <w:r>
        <w:rPr>
          <w:rFonts w:hint="eastAsia" w:ascii="楷体" w:hAnsi="楷体" w:eastAsia="楷体"/>
          <w:b/>
          <w:bCs/>
          <w:color w:val="000000" w:themeColor="text1"/>
          <w14:textFill>
            <w14:solidFill>
              <w14:schemeClr w14:val="tx1"/>
            </w14:solidFill>
          </w14:textFill>
        </w:rPr>
        <w:t>玉米与淀粉：</w:t>
      </w:r>
      <w:r>
        <w:rPr>
          <w:rFonts w:hint="eastAsia" w:ascii="楷体" w:hAnsi="楷体" w:eastAsia="楷体"/>
          <w:b/>
        </w:rPr>
        <w:t>玉米期价再创新低</w:t>
      </w:r>
      <w:bookmarkEnd w:id="37"/>
    </w:p>
    <w:p>
      <w:pPr>
        <w:pStyle w:val="93"/>
        <w:spacing w:before="60" w:beforeAutospacing="0" w:after="60" w:afterAutospacing="0"/>
        <w:ind w:left="630" w:leftChars="300"/>
        <w:rPr>
          <w:rFonts w:hint="eastAsia" w:ascii="楷体" w:hAnsi="楷体" w:eastAsia="楷体"/>
        </w:rPr>
      </w:pPr>
      <w:r>
        <w:rPr>
          <w:rFonts w:hint="eastAsia" w:ascii="楷体" w:hAnsi="楷体" w:eastAsia="楷体"/>
        </w:rPr>
        <w:t>对于玉米而言，近期期价延续弱势，主要原因在于市场对新作上市压力的担忧依然存在，这使得现货缺乏上涨驱动。在这种情况下，需要等待以下三个方面，其一是华北小麦能否转强，其二是中下游是否需要在新作上市之前被动补库，其三是市场对新作产量前景的担忧能否强化，继而引发对新作供需格局的乐观预期，带动中下游主动补库存。综上所述，我们转为中性观点，建议投资者暂以观望为宜。</w:t>
      </w:r>
    </w:p>
    <w:p>
      <w:pPr>
        <w:pStyle w:val="93"/>
        <w:spacing w:before="60" w:beforeAutospacing="0" w:after="60" w:afterAutospacing="0"/>
        <w:ind w:left="630" w:leftChars="300"/>
        <w:rPr>
          <w:rFonts w:hint="eastAsia" w:ascii="楷体" w:hAnsi="楷体" w:eastAsia="楷体"/>
          <w:lang w:val="en-US" w:eastAsia="zh-CN"/>
        </w:rPr>
      </w:pPr>
      <w:r>
        <w:rPr>
          <w:rFonts w:hint="eastAsia" w:ascii="楷体" w:hAnsi="楷体" w:eastAsia="楷体"/>
        </w:rPr>
        <w:t>对于淀粉而言，近期淀粉-玉米价差小幅收窄，主要原因有二，其一是原料成本即华北玉米现货持续弱势，其二是副产品价格受蛋白粕反弹带动多有止跌回升，但考虑到行业供需趋于改善即行业库存继续下滑，而副产品价格反弹空间或受限，再加上淀粉现货基差高企，而盘面生产利润为负，淀粉-玉米价差收窄空间或有限。综上所述，单边基于原料成本转为中性，建议投资者观望，套利层面则可以持有做扩淀粉-玉米价差。</w:t>
      </w:r>
    </w:p>
    <w:p>
      <w:pPr>
        <w:pStyle w:val="93"/>
        <w:spacing w:before="60" w:beforeAutospacing="0" w:after="60" w:afterAutospacing="0"/>
        <w:ind w:left="630" w:leftChars="300"/>
        <w:rPr>
          <w:rFonts w:hint="eastAsia" w:ascii="楷体" w:hAnsi="楷体" w:eastAsia="楷体"/>
          <w:lang w:val="en-US" w:eastAsia="zh-CN"/>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8" w:name="_Toc17646"/>
      <w:r>
        <w:rPr>
          <w:rFonts w:hint="eastAsia" w:ascii="楷体" w:hAnsi="楷体" w:eastAsia="楷体"/>
          <w:b/>
          <w:bCs/>
          <w:color w:val="000000" w:themeColor="text1"/>
          <w14:textFill>
            <w14:solidFill>
              <w14:schemeClr w14:val="tx1"/>
            </w14:solidFill>
          </w14:textFill>
        </w:rPr>
        <w:t>畜禽养殖：生猪现货带动近月期价大幅回落</w:t>
      </w:r>
      <w:bookmarkEnd w:id="38"/>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生猪而言，从期货盘面表现来看，整体延续近强远弱分化走势，这主要源于市场预期现货阶段性回落临近尾声，与6月中下旬的现货表现类似，进而预期接下来有望再度出现上涨行情。在理解盘面的基础上看，远月关注供需改善幅度及其饲料成本预期，考虑到远月期价贴近养殖成本，目前证伪难度较大；近月更多关注节奏，特别是生猪出栏恢复的进度与生猪出栏体重的变化，这里面需要跟过去两年做个比较，2022年更多源于市场压栏和新冠疫情，2023年更多源于非瘟疫情和资金链因素。与过去两年特别是2022年相比，农业农村部公布的2季度末生猪存栏量更低，而7月规模以上屠宰企业生猪屠宰量更高，加上涌益咨询公布的7-8月日度屠宰量亦高于2022年，因此，可以合理推算三季度供应压力显著低于2022年，这可以通过新生仔猪数量加以印证，因今年新生仔猪数量底部出现在3-4月，对应生猪出栏量大致在9-10月。综上所述，维持谨慎看多观点，建议谨慎投资者观望，激进投资者可以考虑轻仓入场做多2411合约。</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对于鸡蛋而言，分析市场可以看出，当前市场纠结之处在于，一方面市场对远期供需宽松预期使得市场担心后期现货下跌，而这已经体现在远月期价深度贴水上，另一方面当前仍处于季节性旺季，且基差处于历史高位，这对期价特别是近月带来一定的支撑。考虑到旺季合约已经进入交割月，市场关注焦点将转向远月，这里面需要重点关注两个方面，其一是原料成本的变数，虽然当前饲料原料包括豆粕和玉米价格均处于相对低位，对应的养殖利润高企，但在新作压力之后其走势存在较大的不确定性。其二是供需预期的变数，因市场多倾向于认为今年年后以来现货整体表现强于预期，主要源于需求端的影响，而我们则倾向于认为更多源于供应端的因素，这可能源于春节前后补栏积极性下降而淘汰积极性上升，因当时蛋鸡苗价格处于历史低位，而多家机构数据均显示去年底以来蛋鸡淘汰量同比大幅增加。综上所述，观点转为中性，建议投资者观望为宜。</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39" w:name="_Toc30565"/>
      <w:r>
        <w:rPr>
          <w:rFonts w:hint="eastAsia" w:ascii="楷体" w:hAnsi="楷体" w:eastAsia="楷体"/>
          <w:b/>
          <w:bCs/>
          <w:color w:val="000000" w:themeColor="text1"/>
          <w14:textFill>
            <w14:solidFill>
              <w14:schemeClr w14:val="tx1"/>
            </w14:solidFill>
          </w14:textFill>
        </w:rPr>
        <w:t>白糖：震荡整理</w:t>
      </w:r>
      <w:bookmarkEnd w:id="39"/>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纽约原糖主力合约和伦敦白砂糖主力合约分别下跌0.42%和1.33%。咨询公司StoneX对巴西最大产糖州圣保罗州受火灾影响的甘蔗地区进行了调查，预测2024/25年度食糖产量将因火灾减少47万吨，但损失的规模仍保有变数。根据该报告，火灾将损失多少糖产量仍不确定，因为这将取决于总面积、糖醇比例及甘蔗单产的受影响程度。国内隔日夜盘，白糖主力01合约上涨0.13%。尽管有印度解禁和巴西干旱减产带来的重大利好，但国际糖价20美分/磅关口压力沉重，冲高未果后掉头下试。经济压力仍存，商品再度普跌，工业品指数接连跳水，警惕衰退的可能。国内01主力合约在丰产预期和商品普跌氛围下反弹略显吃力，但白糖上游农作物和重要战略物资的属性给予其一定支撑。</w:t>
      </w:r>
    </w:p>
    <w:p>
      <w:pPr>
        <w:pStyle w:val="93"/>
        <w:spacing w:before="0" w:beforeAutospacing="0" w:after="60" w:afterAutospacing="0"/>
        <w:ind w:left="630" w:leftChars="30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0" w:name="_Toc15049"/>
      <w:r>
        <w:rPr>
          <w:rFonts w:hint="eastAsia" w:ascii="楷体" w:hAnsi="楷体" w:eastAsia="楷体"/>
          <w:b/>
          <w:bCs/>
          <w:color w:val="000000" w:themeColor="text1"/>
          <w14:textFill>
            <w14:solidFill>
              <w14:schemeClr w14:val="tx1"/>
            </w14:solidFill>
          </w14:textFill>
        </w:rPr>
        <w:t>棉花：预计郑棉震荡下行，空单持有</w:t>
      </w:r>
      <w:bookmarkEnd w:id="40"/>
    </w:p>
    <w:p>
      <w:pPr>
        <w:pStyle w:val="93"/>
        <w:spacing w:before="0" w:beforeAutospacing="0" w:after="60" w:afterAutospacing="0"/>
        <w:ind w:left="630" w:leftChars="300"/>
        <w:rPr>
          <w:rFonts w:hint="eastAsia" w:ascii="楷体" w:hAnsi="楷体" w:eastAsia="楷体"/>
        </w:rPr>
      </w:pPr>
      <w:r>
        <w:rPr>
          <w:rFonts w:hint="eastAsia" w:ascii="楷体" w:hAnsi="楷体" w:eastAsia="楷体"/>
        </w:rPr>
        <w:t>隔日外盘ICE美棉主力下跌0.13%。据美国农业部（USDA）报告，8月30日至9月5日，美国2024/25年度新花分级检验2.83万吨，均为陆地棉。当周74.4%皮棉达到ICE期棉交割要求（SLM 1-1/16"或以上等级)。国内隔日夜盘，郑棉主力2501主力合约下跌0.08%。国际经济下行压力不断显现，地缘政治风险增加，各项经济指标不甚乐观。大宗商品普遍暴跌，美棉未能突破均线压制后大幅回落，净空头寸增加。国内文华商品指数尤其是工业品指数连续数日暴跌，下方空间被打开。郑棉上游为农作物，下游的纺织服装则和经济形势紧密相关。郑棉01主力合约在1.4万关口压力显著，失守20日均线支撑后新空资金大量涌入，郑棉震荡下行，不排除再创新低可能。</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1" w:name="_Toc30835"/>
      <w:r>
        <w:rPr>
          <w:rFonts w:hint="eastAsia" w:ascii="楷体" w:hAnsi="楷体" w:eastAsia="楷体"/>
          <w:b/>
          <w:bCs/>
          <w:color w:val="000000" w:themeColor="text1"/>
          <w14:textFill>
            <w14:solidFill>
              <w14:schemeClr w14:val="tx1"/>
            </w14:solidFill>
          </w14:textFill>
        </w:rPr>
        <w:t>蛋白粕：豆系持续向上修复，菜籽利多逐渐消耗期价回落</w:t>
      </w:r>
      <w:bookmarkEnd w:id="41"/>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外盘美豆上涨1.42%，美国农业部发布的周度出口销售报告显示，截至2024年8月29日当周，美国2023/24年度大豆净销售量减少228,000吨，创下年度新低，显著低于上周以及四周均值。但在当前时点，美豆的利空逐步消化，下行空间有限，过低估值向上修复，带动豆系产品上涨。但向上驱动支撑不明显，等待本周USDA平衡表公布，建议暂时观望或尝试短多豆粕。菜系方面，尽管昨日商务部宣布自9月9日起开始反倾销调查，但菜籽涨幅乏力，目前菜籽较信息公布已有大幅回落。而短期内国内菜系宽松的供应格局不变，近期进口菜籽船仍然正常到港，从船期预报看，9月油菜籽到港量预计71万吨，年底前国内或有三百多万吨油菜籽到港。同时国内油厂而国内规仍有千万吨</w:t>
      </w:r>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油菜籽。菜系目前走势不确定性较大，建议暂时观望。</w:t>
      </w:r>
    </w:p>
    <w:p>
      <w:pPr>
        <w:pStyle w:val="93"/>
        <w:spacing w:before="0" w:beforeAutospacing="0" w:after="60" w:afterAutospacing="0"/>
        <w:rPr>
          <w:rFonts w:hint="eastAsia" w:ascii="楷体" w:hAnsi="楷体" w:eastAsia="楷体"/>
        </w:rPr>
      </w:pPr>
    </w:p>
    <w:p>
      <w:pPr>
        <w:pStyle w:val="93"/>
        <w:spacing w:before="60" w:beforeAutospacing="0" w:after="60" w:afterAutospacing="0"/>
        <w:ind w:left="420" w:leftChars="200"/>
        <w:outlineLvl w:val="1"/>
        <w:rPr>
          <w:rFonts w:hint="eastAsia" w:ascii="楷体" w:hAnsi="楷体" w:eastAsia="楷体"/>
          <w:b/>
          <w:bCs/>
          <w:color w:val="000000" w:themeColor="text1"/>
          <w14:textFill>
            <w14:solidFill>
              <w14:schemeClr w14:val="tx1"/>
            </w14:solidFill>
          </w14:textFill>
        </w:rPr>
      </w:pPr>
      <w:bookmarkStart w:id="42" w:name="_Toc8032"/>
      <w:r>
        <w:rPr>
          <w:rFonts w:hint="eastAsia" w:ascii="楷体" w:hAnsi="楷体" w:eastAsia="楷体"/>
          <w:b/>
          <w:bCs/>
          <w:color w:val="000000" w:themeColor="text1"/>
          <w14:textFill>
            <w14:solidFill>
              <w14:schemeClr w14:val="tx1"/>
            </w14:solidFill>
          </w14:textFill>
        </w:rPr>
        <w:t>油脂类：利多因素支撑，油脂纷纷上涨</w:t>
      </w:r>
      <w:bookmarkEnd w:id="42"/>
    </w:p>
    <w:p>
      <w:pPr>
        <w:pStyle w:val="93"/>
        <w:spacing w:before="0" w:beforeAutospacing="0" w:after="60" w:afterAutospacing="0"/>
        <w:ind w:left="630" w:leftChars="300"/>
        <w:rPr>
          <w:rFonts w:hint="eastAsia" w:ascii="楷体" w:hAnsi="楷体" w:eastAsia="楷体"/>
        </w:rPr>
      </w:pPr>
      <w:r>
        <w:rPr>
          <w:rFonts w:hint="eastAsia" w:ascii="楷体" w:hAnsi="楷体" w:eastAsia="楷体"/>
        </w:rPr>
        <w:t>昨日夜盘豆油上涨0.34%，菜油上涨0.25%，棕榈油上涨0.38%。据Mysteel调研显示，截至2024年9月6日，全国重点地区三大油脂商业库存总量为204.488万吨，较上周减少6.417万吨，减幅3.04%；较去年增加0.54万吨，增幅0.26%，库存逐渐消耗。商务部在反倾销更明确的信号和即将到来的消费旺季也为油脂期价提供的支撑。棕榈油方面，市场预计截至8月末，马来西亚的棕榈油库存料为186万吨，环比增加7.31%；毛棕榈油产量料增至189万吨，为自2023年10月以来的最高水平，环比增加2.93%。而出口量料将环比下降11.21%至150万吨。豆菜油长线看多，棕油暂以震荡对待。</w:t>
      </w:r>
    </w:p>
    <w:p>
      <w:pPr>
        <w:pStyle w:val="93"/>
        <w:spacing w:before="0" w:beforeAutospacing="0" w:after="60" w:afterAutospacing="0"/>
        <w:rPr>
          <w:rFonts w:hint="eastAsia" w:ascii="楷体" w:hAnsi="楷体" w:eastAsia="楷体"/>
        </w:rPr>
      </w:pPr>
    </w:p>
    <w:p>
      <w:pPr>
        <w:pBdr>
          <w:top w:val="single" w:color="auto" w:sz="4" w:space="0"/>
        </w:pBdr>
        <w:outlineLvl w:val="0"/>
        <w:rPr>
          <w:rFonts w:ascii="Times New Roman" w:hAnsi="Times New Roman" w:eastAsia="楷体"/>
          <w:b/>
          <w:color w:val="823C0B"/>
        </w:rPr>
      </w:pPr>
      <w:bookmarkStart w:id="43" w:name="_Toc25736"/>
      <w:r>
        <w:rPr>
          <w:rFonts w:hint="eastAsia" w:ascii="Times New Roman" w:hAnsi="Times New Roman" w:eastAsia="楷体"/>
          <w:b/>
          <w:color w:val="823C0B"/>
          <w:sz w:val="30"/>
          <w:szCs w:val="30"/>
        </w:rPr>
        <w:t>[指数]</w:t>
      </w:r>
      <w:bookmarkEnd w:id="43"/>
    </w:p>
    <w:p>
      <w:pPr>
        <w:ind w:left="420" w:leftChars="200"/>
        <w:outlineLvl w:val="1"/>
        <w:rPr>
          <w:rFonts w:ascii="Times New Roman" w:hAnsi="Times New Roman" w:eastAsia="楷体"/>
          <w:b/>
          <w:color w:val="000000" w:themeColor="text1"/>
          <w:sz w:val="24"/>
          <w:szCs w:val="24"/>
          <w14:textFill>
            <w14:solidFill>
              <w14:schemeClr w14:val="tx1"/>
            </w14:solidFill>
          </w14:textFill>
        </w:rPr>
      </w:pPr>
      <w:bookmarkStart w:id="44" w:name="_Toc6705"/>
      <w:r>
        <w:rPr>
          <w:rFonts w:hint="eastAsia" w:ascii="Times New Roman" w:hAnsi="Times New Roman" w:eastAsia="楷体"/>
          <w:b/>
          <w:color w:val="000000" w:themeColor="text1"/>
          <w:sz w:val="24"/>
          <w:szCs w:val="24"/>
          <w14:textFill>
            <w14:solidFill>
              <w14:schemeClr w14:val="tx1"/>
            </w14:solidFill>
          </w14:textFill>
        </w:rPr>
        <w:t>集运指数（欧线）：盘面维持悲观情绪，期价持续寻底</w:t>
      </w:r>
      <w:bookmarkEnd w:id="44"/>
    </w:p>
    <w:p>
      <w:pPr>
        <w:ind w:left="630" w:leftChars="300"/>
        <w:rPr>
          <w:rFonts w:ascii="Times New Roman" w:hAnsi="Times New Roman" w:eastAsia="楷体"/>
          <w:color w:val="000000" w:themeColor="text1"/>
          <w:sz w:val="24"/>
          <w:szCs w:val="24"/>
          <w14:textFill>
            <w14:solidFill>
              <w14:schemeClr w14:val="tx1"/>
            </w14:solidFill>
          </w14:textFill>
        </w:rPr>
      </w:pPr>
      <w:r>
        <w:rPr>
          <w:rFonts w:hint="eastAsia" w:ascii="Times New Roman" w:hAnsi="Times New Roman" w:eastAsia="楷体"/>
          <w:color w:val="000000" w:themeColor="text1"/>
          <w:sz w:val="24"/>
          <w:szCs w:val="24"/>
          <w14:textFill>
            <w14:solidFill>
              <w14:schemeClr w14:val="tx1"/>
            </w14:solidFill>
          </w14:textFill>
        </w:rPr>
        <w:t>12合约跌8.73%至1607.5，盘面维持悲观情绪，期价向下突破今年一季度震荡区间下沿。本周剩余现舱40GP报价区间约4800-5060美元；下周现舱均价约4955美元，个别如马士基438W航次有40GP的4410美元低价。9月6日，上海航运交易所发布的上海出口集装箱综合运价指数为2726.58点，较上期下跌8.0%。9月6日，上海港出口至欧洲基本港市场运价（海运及海运附加费）为3459美元/TEU，较上期下跌10.8%。9月6日，上海港出口至地中海基本港市场运价（海运及海运附加费）为3823美元/TEU，较上期下跌6.4%。供需基本面缺乏支撑，需求季节性转弱后运价整体下行令期价承压持续寻底，留意短期波动加剧的风险，建议投资者谨慎操作。</w:t>
      </w:r>
    </w:p>
    <w:p>
      <w:pPr>
        <w:ind w:firstLine="602" w:firstLineChars="200"/>
        <w:rPr>
          <w:rFonts w:ascii="Times New Roman" w:hAnsi="Times New Roman" w:eastAsia="楷体"/>
          <w:b/>
          <w:color w:val="800000"/>
          <w:sz w:val="30"/>
          <w:szCs w:val="30"/>
        </w:rPr>
      </w:pPr>
      <w:r>
        <w:rPr>
          <w:rFonts w:ascii="Times New Roman" w:hAnsi="Times New Roman" w:eastAsia="楷体"/>
          <w:b/>
          <w:color w:val="800000"/>
          <w:sz w:val="30"/>
          <w:szCs w:val="30"/>
        </w:rPr>
        <w:br w:type="page"/>
      </w:r>
    </w:p>
    <w:p>
      <w:pPr>
        <w:spacing w:line="360" w:lineRule="auto"/>
        <w:jc w:val="center"/>
        <w:rPr>
          <w:rFonts w:ascii="Times New Roman" w:hAnsi="Times New Roman" w:eastAsia="楷体"/>
          <w:b/>
          <w:color w:val="411D05"/>
          <w:sz w:val="30"/>
          <w:szCs w:val="30"/>
        </w:rPr>
      </w:pPr>
      <w:bookmarkStart w:id="45" w:name="_Toc71212556"/>
      <w:bookmarkStart w:id="46" w:name="_Toc72481108"/>
      <w:bookmarkStart w:id="47" w:name="_Toc98426751"/>
      <w:bookmarkStart w:id="48" w:name="_Toc19667"/>
      <w:bookmarkStart w:id="49" w:name="_Toc12779"/>
      <w:r>
        <w:rPr>
          <w:rFonts w:ascii="Times New Roman" w:hAnsi="Times New Roman" w:eastAsia="楷体"/>
          <w:b/>
          <w:color w:val="411D05"/>
          <w:sz w:val="30"/>
          <w:szCs w:val="30"/>
        </w:rPr>
        <w:t>免责声明</w:t>
      </w:r>
      <w:bookmarkEnd w:id="45"/>
      <w:bookmarkEnd w:id="46"/>
      <w:bookmarkEnd w:id="47"/>
      <w:bookmarkEnd w:id="48"/>
      <w:bookmarkEnd w:id="49"/>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由广州期货股份有限公司（以下简称“本公司”）编制，本公司具有中国证监会许可的期货公司投资咨询业务资格，本报告基于合法取得的信息，但本公司对这些信息的准确性和完整性不作任何保证，也不保证所包含的信息和建议不会发生任何变更。</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我们已力求报告内容的客观、公正，但文中的观点、结论和建议仅供参考，并不构成所述品种的操作依据，投资者据此做出的任何投资决策与本公司和作者无关。在任何情况下，本公司以及雇员不对任何人因使用本报告中的任何内容所引发的任何直接或间接损失负任何责任。</w:t>
      </w:r>
    </w:p>
    <w:p>
      <w:pPr>
        <w:widowControl/>
        <w:ind w:firstLine="422" w:firstLineChars="200"/>
        <w:jc w:val="left"/>
        <w:rPr>
          <w:rFonts w:ascii="Times New Roman" w:hAnsi="Times New Roman" w:eastAsia="楷体"/>
          <w:b/>
          <w:bCs/>
          <w:color w:val="C00000"/>
        </w:rPr>
      </w:pPr>
      <w:r>
        <w:rPr>
          <w:rFonts w:hint="eastAsia" w:ascii="Times New Roman" w:hAnsi="Times New Roman" w:eastAsia="楷体"/>
          <w:b/>
          <w:bCs/>
          <w:color w:val="C00000"/>
        </w:rPr>
        <w:t>本报告版权归本公司所有，本公司保留所有权利。未经本公司事先书面许可，任何机构和个人不得以任何形式翻版、复制、引用或转载本报告的全部或部分内容，不得再次分发给任何其他人，或以任何侵犯本公司版权的其他方式使用。如引用、刊发，须注明出处为广州期货股份有限公司，且不得对本报告进行有悖原意的引用、删节和修改。</w:t>
      </w:r>
    </w:p>
    <w:p>
      <w:pPr>
        <w:ind w:firstLine="422" w:firstLineChars="200"/>
        <w:rPr>
          <w:rFonts w:ascii="Times New Roman" w:hAnsi="Times New Roman" w:eastAsia="楷体"/>
        </w:rPr>
      </w:pPr>
      <w:r>
        <w:rPr>
          <w:rFonts w:hint="eastAsia" w:ascii="Times New Roman" w:hAnsi="Times New Roman" w:eastAsia="楷体"/>
          <w:b/>
          <w:bCs/>
          <w:color w:val="C00000"/>
        </w:rPr>
        <w:t>广州期货股份有限公司提醒广大投资者：期市有风险，入市需谨慎！</w:t>
      </w:r>
    </w:p>
    <w:p>
      <w:pPr>
        <w:ind w:firstLine="420" w:firstLineChars="200"/>
        <w:rPr>
          <w:rFonts w:ascii="Times New Roman" w:hAnsi="Times New Roman" w:eastAsia="楷体"/>
        </w:rPr>
      </w:pPr>
    </w:p>
    <w:p>
      <w:pPr>
        <w:ind w:firstLine="420" w:firstLineChars="200"/>
        <w:rPr>
          <w:rFonts w:ascii="Times New Roman" w:hAnsi="Times New Roman" w:eastAsia="楷体"/>
        </w:rPr>
      </w:pPr>
    </w:p>
    <w:p>
      <w:pPr>
        <w:jc w:val="left"/>
        <w:rPr>
          <w:rFonts w:ascii="Times New Roman" w:hAnsi="Times New Roman" w:eastAsia="楷体"/>
          <w:b/>
          <w:color w:val="823C0B"/>
          <w:sz w:val="28"/>
        </w:rPr>
      </w:pPr>
      <w:r>
        <w:rPr>
          <w:rFonts w:ascii="Times New Roman" w:hAnsi="Times New Roman" w:eastAsia="楷体"/>
          <w:b/>
          <w:color w:val="823C0B"/>
          <w:sz w:val="28"/>
        </w:rPr>
        <w:t xml:space="preserve">投资咨询业务资格:证监许可【2012】1497号 </w:t>
      </w:r>
    </w:p>
    <w:p>
      <w:pPr>
        <w:ind w:firstLine="440" w:firstLineChars="200"/>
        <w:rPr>
          <w:rFonts w:ascii="Times New Roman" w:hAnsi="Times New Roman" w:eastAsia="楷体" w:cs="Times New Roman"/>
          <w:sz w:val="22"/>
        </w:rPr>
      </w:pPr>
    </w:p>
    <w:tbl>
      <w:tblPr>
        <w:tblStyle w:val="89"/>
        <w:tblW w:w="5000"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0"/>
        <w:gridCol w:w="426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王荆杰</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F3084112</w:t>
            </w:r>
            <w:r>
              <w:rPr>
                <w:rFonts w:hint="eastAsia" w:ascii="Times New Roman" w:hAnsi="Times New Roman" w:eastAsia="楷体" w:cs="Times New Roman"/>
                <w:color w:val="823C0B"/>
                <w:sz w:val="22"/>
              </w:rPr>
              <w:t xml:space="preserve">    </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Z0016329</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范红军</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w:t>
            </w:r>
            <w:r>
              <w:rPr>
                <w:rFonts w:ascii="Times New Roman" w:hAnsi="Times New Roman" w:eastAsia="楷体" w:cs="Times New Roman"/>
                <w:color w:val="823C0B"/>
                <w:sz w:val="22"/>
              </w:rPr>
              <w:t>F03098791</w:t>
            </w:r>
          </w:p>
          <w:p>
            <w:pPr>
              <w:tabs>
                <w:tab w:val="left" w:pos="1842"/>
              </w:tabs>
              <w:rPr>
                <w:rFonts w:ascii="Times New Roman" w:hAnsi="Times New Roman" w:eastAsia="楷体" w:cs="Times New Roman"/>
                <w:b/>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：Z0017690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260"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许克元</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：F3022666</w:t>
            </w:r>
          </w:p>
          <w:p>
            <w:pPr>
              <w:tabs>
                <w:tab w:val="left" w:pos="1842"/>
              </w:tabs>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：Z0013612</w:t>
            </w:r>
          </w:p>
        </w:tc>
        <w:tc>
          <w:tcPr>
            <w:tcW w:w="4262" w:type="dxa"/>
          </w:tcPr>
          <w:p>
            <w:pPr>
              <w:tabs>
                <w:tab w:val="left" w:pos="1842"/>
              </w:tabs>
              <w:rPr>
                <w:rFonts w:ascii="Times New Roman" w:hAnsi="Times New Roman" w:eastAsia="楷体" w:cs="Times New Roman"/>
                <w:b/>
                <w:color w:val="823C0B"/>
                <w:sz w:val="22"/>
              </w:rPr>
            </w:pPr>
            <w:r>
              <w:rPr>
                <w:rFonts w:ascii="Times New Roman" w:hAnsi="Times New Roman" w:eastAsia="楷体" w:cs="Times New Roman"/>
                <w:b/>
                <w:color w:val="823C0B"/>
                <w:sz w:val="22"/>
              </w:rPr>
              <w:t>谢紫琪</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期货从业资格</w:t>
            </w:r>
            <w:r>
              <w:rPr>
                <w:rFonts w:hint="eastAsia" w:ascii="Times New Roman" w:hAnsi="Times New Roman" w:eastAsia="楷体" w:cs="Times New Roman"/>
                <w:color w:val="823C0B"/>
                <w:sz w:val="22"/>
              </w:rPr>
              <w:t>：F3032560</w:t>
            </w:r>
          </w:p>
          <w:p>
            <w:pPr>
              <w:rPr>
                <w:rFonts w:ascii="Times New Roman" w:hAnsi="Times New Roman" w:eastAsia="楷体" w:cs="Times New Roman"/>
                <w:color w:val="823C0B"/>
                <w:sz w:val="22"/>
              </w:rPr>
            </w:pPr>
            <w:r>
              <w:rPr>
                <w:rFonts w:ascii="Times New Roman" w:hAnsi="Times New Roman" w:eastAsia="楷体" w:cs="Times New Roman"/>
                <w:color w:val="823C0B"/>
                <w:sz w:val="22"/>
              </w:rPr>
              <w:t>投资咨询资格</w:t>
            </w:r>
            <w:r>
              <w:rPr>
                <w:rFonts w:hint="eastAsia" w:ascii="Times New Roman" w:hAnsi="Times New Roman" w:eastAsia="楷体" w:cs="Times New Roman"/>
                <w:color w:val="823C0B"/>
                <w:sz w:val="22"/>
              </w:rPr>
              <w:t>：Z0014338</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ind w:firstLine="420" w:firstLineChars="200"/>
        <w:rPr>
          <w:rFonts w:ascii="Times New Roman" w:hAnsi="Times New Roman" w:eastAsia="楷体"/>
        </w:rPr>
      </w:pPr>
    </w:p>
    <w:tbl>
      <w:tblPr>
        <w:tblStyle w:val="88"/>
        <w:tblW w:w="5000" w:type="pct"/>
        <w:jc w:val="center"/>
        <w:tblLayout w:type="autofit"/>
        <w:tblCellMar>
          <w:top w:w="0" w:type="dxa"/>
          <w:left w:w="108" w:type="dxa"/>
          <w:bottom w:w="0" w:type="dxa"/>
          <w:right w:w="108" w:type="dxa"/>
        </w:tblCellMar>
      </w:tblPr>
      <w:tblGrid>
        <w:gridCol w:w="8522"/>
      </w:tblGrid>
      <w:tr>
        <w:tblPrEx>
          <w:tblCellMar>
            <w:top w:w="0" w:type="dxa"/>
            <w:left w:w="108" w:type="dxa"/>
            <w:bottom w:w="0" w:type="dxa"/>
            <w:right w:w="108" w:type="dxa"/>
          </w:tblCellMar>
        </w:tblPrEx>
        <w:trPr>
          <w:jc w:val="center"/>
        </w:trPr>
        <w:tc>
          <w:tcPr>
            <w:tcW w:w="5000" w:type="pct"/>
            <w:shd w:val="clear" w:color="auto" w:fill="auto"/>
            <w:vAlign w:val="center"/>
          </w:tcPr>
          <w:p>
            <w:pPr>
              <w:rPr>
                <w:rFonts w:ascii="Times New Roman" w:hAnsi="Times New Roman" w:eastAsia="楷体"/>
                <w:b/>
                <w:bCs/>
                <w:color w:val="823C0B"/>
              </w:rPr>
            </w:pPr>
            <w:r>
              <w:rPr>
                <w:rFonts w:ascii="Times New Roman" w:hAnsi="Times New Roman" w:eastAsia="楷体"/>
                <w:bCs/>
                <w:color w:val="823C0B"/>
              </w:rPr>
              <w:t>办公地址：广州市天河区</w:t>
            </w:r>
            <w:r>
              <w:rPr>
                <w:rFonts w:hint="eastAsia" w:ascii="Times New Roman" w:hAnsi="Times New Roman" w:eastAsia="楷体"/>
                <w:bCs/>
                <w:color w:val="823C0B"/>
              </w:rPr>
              <w:t>临江大道1号寺右万科中心南塔</w:t>
            </w:r>
            <w:r>
              <w:rPr>
                <w:rFonts w:ascii="Times New Roman" w:hAnsi="Times New Roman" w:eastAsia="楷体"/>
                <w:bCs/>
                <w:color w:val="823C0B"/>
              </w:rPr>
              <w:t>6</w:t>
            </w:r>
            <w:r>
              <w:rPr>
                <w:rFonts w:hint="eastAsia" w:ascii="Times New Roman" w:hAnsi="Times New Roman" w:eastAsia="楷体"/>
                <w:bCs/>
                <w:color w:val="823C0B"/>
              </w:rPr>
              <w:t>层</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color w:val="823C0B"/>
              </w:rPr>
            </w:pPr>
            <w:r>
              <w:rPr>
                <w:rFonts w:hint="eastAsia" w:ascii="Times New Roman" w:hAnsi="Times New Roman" w:eastAsia="楷体"/>
                <w:bCs/>
                <w:color w:val="823C0B"/>
              </w:rPr>
              <w:t>联系方式: (020)22836102</w:t>
            </w:r>
          </w:p>
        </w:tc>
      </w:tr>
      <w:tr>
        <w:tblPrEx>
          <w:tblCellMar>
            <w:top w:w="0" w:type="dxa"/>
            <w:left w:w="108" w:type="dxa"/>
            <w:bottom w:w="0" w:type="dxa"/>
            <w:right w:w="108" w:type="dxa"/>
          </w:tblCellMar>
        </w:tblPrEx>
        <w:trPr>
          <w:jc w:val="center"/>
        </w:trPr>
        <w:tc>
          <w:tcPr>
            <w:tcW w:w="5000" w:type="pct"/>
            <w:shd w:val="clear" w:color="auto" w:fill="auto"/>
            <w:vAlign w:val="center"/>
          </w:tcPr>
          <w:p>
            <w:pPr>
              <w:jc w:val="left"/>
              <w:rPr>
                <w:rFonts w:ascii="Times New Roman" w:hAnsi="Times New Roman" w:eastAsia="楷体"/>
                <w:bCs/>
                <w:color w:val="823C0B"/>
              </w:rPr>
            </w:pPr>
            <w:r>
              <w:rPr>
                <w:rFonts w:ascii="Times New Roman" w:hAnsi="Times New Roman" w:eastAsia="楷体"/>
                <w:bCs/>
                <w:color w:val="823C0B"/>
              </w:rPr>
              <w:t>邮政编码：510627</w:t>
            </w:r>
          </w:p>
        </w:tc>
      </w:tr>
    </w:tbl>
    <w:p>
      <w:pPr>
        <w:ind w:firstLine="420" w:firstLineChars="200"/>
        <w:rPr>
          <w:rFonts w:ascii="Times New Roman" w:hAnsi="Times New Roman" w:eastAsia="楷体"/>
        </w:rPr>
      </w:pPr>
    </w:p>
    <w:p>
      <w:pPr>
        <w:ind w:firstLine="420" w:firstLineChars="200"/>
        <w:rPr>
          <w:rFonts w:ascii="Times New Roman" w:hAnsi="Times New Roman" w:eastAsia="楷体"/>
        </w:rPr>
      </w:pPr>
    </w:p>
    <w:p>
      <w:pPr>
        <w:pBdr>
          <w:top w:val="none" w:color="auto" w:sz="0" w:space="1"/>
          <w:left w:val="none" w:color="auto" w:sz="0" w:space="4"/>
          <w:bottom w:val="none" w:color="auto" w:sz="0" w:space="1"/>
          <w:right w:val="none" w:color="auto" w:sz="0" w:space="4"/>
        </w:pBdr>
      </w:pPr>
    </w:p>
    <w:sectPr>
      <w:footerReference r:id="rId7" w:type="first"/>
      <w:footerReference r:id="rId6" w:type="default"/>
      <w:pgSz w:w="11906" w:h="16838"/>
      <w:pgMar w:top="1440" w:right="1800" w:bottom="1440" w:left="1800" w:header="850" w:footer="1077"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w:rPr>
        <w:rFonts w:hint="eastAsia" w:ascii="楷体" w:hAnsi="楷体" w:eastAsia="楷体" w:cs="Times New Roman"/>
        <w:b/>
        <w:color w:val="833C0B"/>
        <w:sz w:val="21"/>
        <w:lang w:bidi="ar"/>
      </w:rPr>
      <w:t>广州期货提醒各位投资者，期市有风险，入市需谨慎！请阅读文末免责声明</w:t>
    </w:r>
    <w: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 1</w:t>
                    </w:r>
                  </w:p>
                </w:txbxContent>
              </v:textbox>
            </v:shape>
          </w:pict>
        </mc:Fallback>
      </mc:AlternateContent>
    </w:r>
    <w:r>
      <w:rPr>
        <w:rFonts w:hint="eastAsia" w:ascii="楷体" w:hAnsi="楷体" w:eastAsia="楷体" w:cs="Times New Roman"/>
        <w:b/>
        <w:color w:val="833C0B"/>
        <w:sz w:val="21"/>
        <w:lang w:bidi="ar"/>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Bdr>
        <w:top w:val="single" w:color="000000" w:sz="4" w:space="0"/>
      </w:pBdr>
      <w:jc w:val="both"/>
    </w:pPr>
    <w:r>
      <mc:AlternateContent>
        <mc:Choice Requires="wps">
          <w:drawing>
            <wp:anchor distT="0" distB="0" distL="114300" distR="114300" simplePos="0" relativeHeight="251662336" behindDoc="0" locked="0" layoutInCell="1" allowOverlap="1">
              <wp:simplePos x="0" y="0"/>
              <wp:positionH relativeFrom="margin">
                <wp:posOffset>4894580</wp:posOffset>
              </wp:positionH>
              <wp:positionV relativeFrom="paragraph">
                <wp:posOffset>-10795</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85.4pt;margin-top:-0.85pt;height:144pt;width:144pt;mso-position-horizontal-relative:margin;mso-wrap-style:none;z-index:251662336;mso-width-relative:page;mso-height-relative:page;" filled="f" stroked="f" coordsize="21600,21600" o:gfxdata="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MpUetTYAAAACwEAAA8AAAAAAAAAAQAgAAAAIgAAAGRycy9kb3ducmV2LnhtbFBLAQIU&#10;ABQAAAAIAIdO4kAXDIm4LAIAAFUEAAAOAAAAAAAAAAEAIAAAACcBAABkcnMvZTJvRG9jLnhtbFBL&#10;BQYAAAAABgAGAFkBAADFBQAAAAA=&#10;">
              <v:fill on="f" focussize="0,0"/>
              <v:stroke on="f" weight="0.5pt"/>
              <v:imagedata o:title=""/>
              <o:lock v:ext="edit" aspectratio="f"/>
              <v:textbox inset="0mm,0mm,0mm,0mm" style="mso-fit-shape-to-text:t;">
                <w:txbxContent>
                  <w:p>
                    <w:pPr>
                      <w:pStyle w:val="55"/>
                      <w:rPr>
                        <w:rFonts w:ascii="Times New Roman" w:hAnsi="Times New Roman" w:eastAsia="楷体" w:cs="Times New Roman"/>
                        <w:b/>
                        <w:color w:val="833C0B"/>
                        <w:sz w:val="21"/>
                        <w:lang w:bidi="ar"/>
                      </w:rPr>
                    </w:pPr>
                    <w:r>
                      <w:rPr>
                        <w:rFonts w:hint="eastAsia" w:ascii="Times New Roman" w:hAnsi="Times New Roman" w:eastAsia="楷体" w:cs="Times New Roman"/>
                        <w:b/>
                        <w:color w:val="833C0B"/>
                        <w:sz w:val="21"/>
                        <w:lang w:bidi="ar"/>
                      </w:rPr>
                      <w:t>Page</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55"/>
                    </w:pPr>
                    <w:r>
                      <w:rPr>
                        <w:rFonts w:hint="eastAsia" w:ascii="Times New Roman" w:hAnsi="Times New Roman" w:eastAsia="楷体" w:cs="Times New Roman"/>
                        <w:b/>
                        <w:color w:val="833C0B"/>
                        <w:sz w:val="21"/>
                        <w:lang w:bidi="ar"/>
                      </w:rPr>
                      <w:fldChar w:fldCharType="begin"/>
                    </w:r>
                    <w:r>
                      <w:rPr>
                        <w:rFonts w:hint="eastAsia" w:ascii="Times New Roman" w:hAnsi="Times New Roman" w:eastAsia="楷体" w:cs="Times New Roman"/>
                        <w:b/>
                        <w:color w:val="833C0B"/>
                        <w:sz w:val="21"/>
                        <w:lang w:bidi="ar"/>
                      </w:rPr>
                      <w:instrText xml:space="preserve"> PAGE  \* MERGEFORMAT </w:instrText>
                    </w:r>
                    <w:r>
                      <w:rPr>
                        <w:rFonts w:hint="eastAsia" w:ascii="Times New Roman" w:hAnsi="Times New Roman" w:eastAsia="楷体" w:cs="Times New Roman"/>
                        <w:b/>
                        <w:color w:val="833C0B"/>
                        <w:sz w:val="21"/>
                        <w:lang w:bidi="ar"/>
                      </w:rPr>
                      <w:fldChar w:fldCharType="separate"/>
                    </w:r>
                    <w:r>
                      <w:rPr>
                        <w:rFonts w:ascii="Times New Roman" w:hAnsi="Times New Roman" w:eastAsia="楷体" w:cs="Times New Roman"/>
                        <w:b/>
                        <w:color w:val="833C0B"/>
                        <w:sz w:val="21"/>
                        <w:lang w:bidi="ar"/>
                      </w:rPr>
                      <w:t>1</w:t>
                    </w:r>
                    <w:r>
                      <w:rPr>
                        <w:rFonts w:hint="eastAsia" w:ascii="Times New Roman" w:hAnsi="Times New Roman" w:eastAsia="楷体" w:cs="Times New Roman"/>
                        <w:b/>
                        <w:color w:val="833C0B"/>
                        <w:sz w:val="21"/>
                        <w:lang w:bidi="ar"/>
                      </w:rPr>
                      <w:fldChar w:fldCharType="end"/>
                    </w:r>
                  </w:p>
                </w:txbxContent>
              </v:textbox>
            </v:shape>
          </w:pict>
        </mc:Fallback>
      </mc:AlternateContent>
    </w:r>
    <w:r>
      <w:rPr>
        <w:rFonts w:hint="eastAsia" w:ascii="楷体" w:hAnsi="楷体" w:eastAsia="楷体" w:cs="Times New Roman"/>
        <w:b/>
        <w:color w:val="833C0B"/>
        <w:sz w:val="21"/>
        <w:lang w:bidi="ar"/>
      </w:rPr>
      <w:t>广州期货提醒各位投资者，期市有风险，入市需谨慎！请阅读文末免责声明。</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bVWnMqAgAAVQ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CbVWnMqAgAAVQQAAA4AAAAAAAAAAQAgAAAAHwEAAGRycy9lMm9Eb2MueG1sUEsFBgAAAAAGAAYA&#10;WQEAALsFAAAAAA==&#10;">
              <v:fill on="f" focussize="0,0"/>
              <v:stroke on="f" weight="0.5pt"/>
              <v:imagedata o:title=""/>
              <o:lock v:ext="edit" aspectratio="f"/>
              <v:textbox inset="0mm,0mm,0mm,0mm" style="mso-fit-shape-to-text:t;">
                <w:txbxContent>
                  <w:p>
                    <w:pPr>
                      <w:pStyle w:val="55"/>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pPr>
    <w:r>
      <w:drawing>
        <wp:anchor distT="0" distB="0" distL="114300" distR="114300" simplePos="0" relativeHeight="251659264" behindDoc="0" locked="0" layoutInCell="1" allowOverlap="1">
          <wp:simplePos x="0" y="0"/>
          <wp:positionH relativeFrom="column">
            <wp:posOffset>0</wp:posOffset>
          </wp:positionH>
          <wp:positionV relativeFrom="paragraph">
            <wp:posOffset>-164465</wp:posOffset>
          </wp:positionV>
          <wp:extent cx="1774190" cy="469265"/>
          <wp:effectExtent l="0" t="0" r="16510" b="6985"/>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p>
  <w:p>
    <w:pPr>
      <w:pStyle w:val="57"/>
      <w:pBdr>
        <w:bottom w:val="single" w:color="auto" w:sz="4" w:space="1"/>
      </w:pBdr>
      <w:jc w:val="right"/>
      <w:rPr>
        <w:b/>
        <w:bCs/>
      </w:rPr>
    </w:pPr>
    <w:r>
      <w:ptab w:relativeTo="margin" w:alignment="center" w:leader="none"/>
    </w:r>
    <w:r>
      <w:rPr>
        <w:rFonts w:hint="eastAsia" w:ascii="Times New Roman" w:hAnsi="Times New Roman" w:eastAsia="楷体"/>
        <w:b/>
        <w:bCs/>
        <w:color w:val="833C0B"/>
        <w:sz w:val="21"/>
      </w:rPr>
      <w:t>早间直通车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jc w:val="right"/>
      <w:rPr>
        <w:rFonts w:ascii="Times New Roman" w:hAnsi="Times New Roman" w:eastAsia="楷体"/>
        <w:b/>
        <w:bCs/>
        <w:color w:val="833C0B"/>
        <w:sz w:val="21"/>
      </w:rPr>
    </w:pPr>
    <w:r>
      <w:ptab w:relativeTo="margin" w:alignment="center" w:leader="none"/>
    </w:r>
    <w:r>
      <w:drawing>
        <wp:anchor distT="0" distB="0" distL="114300" distR="114300" simplePos="0" relativeHeight="251661312" behindDoc="0" locked="0" layoutInCell="1" allowOverlap="1">
          <wp:simplePos x="0" y="0"/>
          <wp:positionH relativeFrom="column">
            <wp:posOffset>0</wp:posOffset>
          </wp:positionH>
          <wp:positionV relativeFrom="paragraph">
            <wp:posOffset>-180975</wp:posOffset>
          </wp:positionV>
          <wp:extent cx="1774190" cy="469265"/>
          <wp:effectExtent l="0" t="0" r="16510" b="6985"/>
          <wp:wrapSquare wrapText="bothSides"/>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a:off x="0" y="0"/>
                    <a:ext cx="1774190" cy="469265"/>
                  </a:xfrm>
                  <a:prstGeom prst="rect">
                    <a:avLst/>
                  </a:prstGeom>
                  <a:noFill/>
                  <a:ln>
                    <a:noFill/>
                  </a:ln>
                </pic:spPr>
              </pic:pic>
            </a:graphicData>
          </a:graphic>
        </wp:anchor>
      </w:drawing>
    </w:r>
    <w:r>
      <w:rPr>
        <w:rFonts w:hint="eastAsia" w:ascii="Times New Roman" w:hAnsi="Times New Roman" w:eastAsia="楷体"/>
        <w:b/>
        <w:bCs/>
        <w:color w:val="833C0B"/>
        <w:sz w:val="21"/>
      </w:rPr>
      <w:t>早间直通车</w:t>
    </w:r>
  </w:p>
  <w:p>
    <w:pPr>
      <w:pStyle w:val="57"/>
      <w:pBdr>
        <w:bottom w:val="single" w:color="auto" w:sz="4" w:space="1"/>
      </w:pBdr>
      <w:jc w:val="right"/>
    </w:pPr>
    <w:r>
      <w:rPr>
        <w:rFonts w:ascii="Times New Roman" w:hAnsi="Times New Roman" w:eastAsia="楷体"/>
        <w:b/>
        <w:bCs/>
        <w:color w:val="833C0B"/>
        <w:sz w:val="21"/>
      </w:rPr>
      <w:fldChar w:fldCharType="begin"/>
    </w:r>
    <w:r>
      <w:rPr>
        <w:rFonts w:ascii="Times New Roman" w:hAnsi="Times New Roman" w:eastAsia="楷体"/>
        <w:b/>
        <w:bCs/>
        <w:color w:val="833C0B"/>
        <w:sz w:val="21"/>
      </w:rPr>
      <w:instrText xml:space="preserve"> </w:instrText>
    </w:r>
    <w:r>
      <w:rPr>
        <w:rFonts w:hint="eastAsia" w:ascii="Times New Roman" w:hAnsi="Times New Roman" w:eastAsia="楷体"/>
        <w:b/>
        <w:bCs/>
        <w:color w:val="833C0B"/>
        <w:sz w:val="21"/>
      </w:rPr>
      <w:instrText xml:space="preserve">TIME \@ "yyyy年M月d日星期W"</w:instrText>
    </w:r>
    <w:r>
      <w:rPr>
        <w:rFonts w:ascii="Times New Roman" w:hAnsi="Times New Roman" w:eastAsia="楷体"/>
        <w:b/>
        <w:bCs/>
        <w:color w:val="833C0B"/>
        <w:sz w:val="21"/>
      </w:rPr>
      <w:instrText xml:space="preserve"> </w:instrText>
    </w:r>
    <w:r>
      <w:rPr>
        <w:rFonts w:ascii="Times New Roman" w:hAnsi="Times New Roman" w:eastAsia="楷体"/>
        <w:b/>
        <w:bCs/>
        <w:color w:val="833C0B"/>
        <w:sz w:val="21"/>
      </w:rPr>
      <w:fldChar w:fldCharType="separate"/>
    </w:r>
    <w:r>
      <w:rPr>
        <w:rFonts w:hint="eastAsia" w:ascii="Times New Roman" w:hAnsi="Times New Roman" w:eastAsia="楷体"/>
        <w:b/>
        <w:bCs/>
        <w:color w:val="833C0B"/>
        <w:sz w:val="21"/>
      </w:rPr>
      <w:t>2024年9月10日星期二</w:t>
    </w:r>
    <w:r>
      <w:rPr>
        <w:rFonts w:ascii="Times New Roman" w:hAnsi="Times New Roman" w:eastAsia="楷体"/>
        <w:b/>
        <w:bCs/>
        <w:color w:val="833C0B"/>
        <w:sz w:val="21"/>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1">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2">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3">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4">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5">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6">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7">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8">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9">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ljYzUzMWQ4OWI0YzBkYjYzMDRhZTY5ZjZkYmFmYTgifQ=="/>
  </w:docVars>
  <w:rsids>
    <w:rsidRoot w:val="3B3306F0"/>
    <w:rsid w:val="00003BBB"/>
    <w:rsid w:val="0000534E"/>
    <w:rsid w:val="000058D8"/>
    <w:rsid w:val="00006269"/>
    <w:rsid w:val="00010BF8"/>
    <w:rsid w:val="00012A9A"/>
    <w:rsid w:val="000151C6"/>
    <w:rsid w:val="00020E82"/>
    <w:rsid w:val="00024902"/>
    <w:rsid w:val="000249A6"/>
    <w:rsid w:val="00024C21"/>
    <w:rsid w:val="00032A7A"/>
    <w:rsid w:val="00035EB2"/>
    <w:rsid w:val="000417D7"/>
    <w:rsid w:val="00050B6C"/>
    <w:rsid w:val="0005286B"/>
    <w:rsid w:val="0005726F"/>
    <w:rsid w:val="00057E99"/>
    <w:rsid w:val="00060F08"/>
    <w:rsid w:val="00072E13"/>
    <w:rsid w:val="00072EAA"/>
    <w:rsid w:val="00073CEF"/>
    <w:rsid w:val="00076420"/>
    <w:rsid w:val="000820C6"/>
    <w:rsid w:val="0008229A"/>
    <w:rsid w:val="00093E40"/>
    <w:rsid w:val="00094BAE"/>
    <w:rsid w:val="00096258"/>
    <w:rsid w:val="000A390A"/>
    <w:rsid w:val="000A413E"/>
    <w:rsid w:val="000A476D"/>
    <w:rsid w:val="000B0648"/>
    <w:rsid w:val="000B4E70"/>
    <w:rsid w:val="000B56D3"/>
    <w:rsid w:val="000C102A"/>
    <w:rsid w:val="000C3C5C"/>
    <w:rsid w:val="000C475E"/>
    <w:rsid w:val="000C4F17"/>
    <w:rsid w:val="000D36DC"/>
    <w:rsid w:val="000D42E2"/>
    <w:rsid w:val="000D7CF0"/>
    <w:rsid w:val="000E03FC"/>
    <w:rsid w:val="000E0968"/>
    <w:rsid w:val="000E0C15"/>
    <w:rsid w:val="000E4EEB"/>
    <w:rsid w:val="00115EEA"/>
    <w:rsid w:val="00117470"/>
    <w:rsid w:val="00120B1F"/>
    <w:rsid w:val="00121DBA"/>
    <w:rsid w:val="0012609D"/>
    <w:rsid w:val="001275B7"/>
    <w:rsid w:val="00127803"/>
    <w:rsid w:val="00127FF1"/>
    <w:rsid w:val="00147668"/>
    <w:rsid w:val="00147B03"/>
    <w:rsid w:val="0015047B"/>
    <w:rsid w:val="00152664"/>
    <w:rsid w:val="001529BB"/>
    <w:rsid w:val="00155A0F"/>
    <w:rsid w:val="00156FEB"/>
    <w:rsid w:val="001579F3"/>
    <w:rsid w:val="00163783"/>
    <w:rsid w:val="00163984"/>
    <w:rsid w:val="00170E7B"/>
    <w:rsid w:val="00170EDF"/>
    <w:rsid w:val="001801C4"/>
    <w:rsid w:val="0018476D"/>
    <w:rsid w:val="0018678E"/>
    <w:rsid w:val="001942CB"/>
    <w:rsid w:val="001945E9"/>
    <w:rsid w:val="001A3E49"/>
    <w:rsid w:val="001A44F9"/>
    <w:rsid w:val="001B0610"/>
    <w:rsid w:val="001B179D"/>
    <w:rsid w:val="001B1904"/>
    <w:rsid w:val="001B25C9"/>
    <w:rsid w:val="001B2D4C"/>
    <w:rsid w:val="001B6043"/>
    <w:rsid w:val="001B6394"/>
    <w:rsid w:val="001B6B7D"/>
    <w:rsid w:val="001C267B"/>
    <w:rsid w:val="001C2E87"/>
    <w:rsid w:val="001C77D0"/>
    <w:rsid w:val="001D1F0A"/>
    <w:rsid w:val="001D40EA"/>
    <w:rsid w:val="001D4474"/>
    <w:rsid w:val="001D5419"/>
    <w:rsid w:val="001D6E4C"/>
    <w:rsid w:val="001D7D0A"/>
    <w:rsid w:val="001E1A3C"/>
    <w:rsid w:val="001E3813"/>
    <w:rsid w:val="001F5070"/>
    <w:rsid w:val="001F5438"/>
    <w:rsid w:val="001F7531"/>
    <w:rsid w:val="001F79C6"/>
    <w:rsid w:val="002006C2"/>
    <w:rsid w:val="00201944"/>
    <w:rsid w:val="00206537"/>
    <w:rsid w:val="002074A1"/>
    <w:rsid w:val="00216C1E"/>
    <w:rsid w:val="00226406"/>
    <w:rsid w:val="0023093E"/>
    <w:rsid w:val="00230DB7"/>
    <w:rsid w:val="00235529"/>
    <w:rsid w:val="00244CA3"/>
    <w:rsid w:val="0025590B"/>
    <w:rsid w:val="00264E6F"/>
    <w:rsid w:val="00267FFD"/>
    <w:rsid w:val="0027652F"/>
    <w:rsid w:val="00282262"/>
    <w:rsid w:val="00284165"/>
    <w:rsid w:val="00285297"/>
    <w:rsid w:val="00291461"/>
    <w:rsid w:val="00292AE8"/>
    <w:rsid w:val="002951EB"/>
    <w:rsid w:val="00296325"/>
    <w:rsid w:val="00297A1B"/>
    <w:rsid w:val="002A0670"/>
    <w:rsid w:val="002A6C89"/>
    <w:rsid w:val="002B0F87"/>
    <w:rsid w:val="002B2257"/>
    <w:rsid w:val="002B294F"/>
    <w:rsid w:val="002B2B4E"/>
    <w:rsid w:val="002B32AE"/>
    <w:rsid w:val="002B32FF"/>
    <w:rsid w:val="002C0C59"/>
    <w:rsid w:val="002C73FE"/>
    <w:rsid w:val="002D7FC5"/>
    <w:rsid w:val="002F075C"/>
    <w:rsid w:val="002F545E"/>
    <w:rsid w:val="002F6AD1"/>
    <w:rsid w:val="002F7810"/>
    <w:rsid w:val="0031065A"/>
    <w:rsid w:val="00320AB1"/>
    <w:rsid w:val="00321629"/>
    <w:rsid w:val="003230A0"/>
    <w:rsid w:val="00323550"/>
    <w:rsid w:val="003238A5"/>
    <w:rsid w:val="00330C71"/>
    <w:rsid w:val="0033167B"/>
    <w:rsid w:val="00332216"/>
    <w:rsid w:val="00332F22"/>
    <w:rsid w:val="0033644D"/>
    <w:rsid w:val="003416C2"/>
    <w:rsid w:val="00341727"/>
    <w:rsid w:val="00344AED"/>
    <w:rsid w:val="003471F4"/>
    <w:rsid w:val="003523FF"/>
    <w:rsid w:val="00357545"/>
    <w:rsid w:val="00370D25"/>
    <w:rsid w:val="00371ED6"/>
    <w:rsid w:val="00374836"/>
    <w:rsid w:val="00375F0B"/>
    <w:rsid w:val="00376AF1"/>
    <w:rsid w:val="00380E38"/>
    <w:rsid w:val="00381978"/>
    <w:rsid w:val="00383B5C"/>
    <w:rsid w:val="0038626D"/>
    <w:rsid w:val="0038677D"/>
    <w:rsid w:val="003953FD"/>
    <w:rsid w:val="003A1F3C"/>
    <w:rsid w:val="003A3DB4"/>
    <w:rsid w:val="003A5DDB"/>
    <w:rsid w:val="003C32DB"/>
    <w:rsid w:val="003C4855"/>
    <w:rsid w:val="003C54F5"/>
    <w:rsid w:val="003C5F91"/>
    <w:rsid w:val="003C70A3"/>
    <w:rsid w:val="003D3A9E"/>
    <w:rsid w:val="003F2424"/>
    <w:rsid w:val="003F43FB"/>
    <w:rsid w:val="003F56A5"/>
    <w:rsid w:val="00404AFE"/>
    <w:rsid w:val="004123EF"/>
    <w:rsid w:val="0041664D"/>
    <w:rsid w:val="004177A8"/>
    <w:rsid w:val="004201F5"/>
    <w:rsid w:val="004230AC"/>
    <w:rsid w:val="00426AB5"/>
    <w:rsid w:val="00430222"/>
    <w:rsid w:val="00433C64"/>
    <w:rsid w:val="00440FBE"/>
    <w:rsid w:val="004427D1"/>
    <w:rsid w:val="00443773"/>
    <w:rsid w:val="00452F14"/>
    <w:rsid w:val="004567BD"/>
    <w:rsid w:val="00461147"/>
    <w:rsid w:val="004648E2"/>
    <w:rsid w:val="0047103A"/>
    <w:rsid w:val="00481046"/>
    <w:rsid w:val="00484C53"/>
    <w:rsid w:val="00485A3F"/>
    <w:rsid w:val="00486646"/>
    <w:rsid w:val="00487F77"/>
    <w:rsid w:val="00490056"/>
    <w:rsid w:val="00491DD7"/>
    <w:rsid w:val="00495F18"/>
    <w:rsid w:val="004977A9"/>
    <w:rsid w:val="004A1926"/>
    <w:rsid w:val="004A382D"/>
    <w:rsid w:val="004A3F85"/>
    <w:rsid w:val="004A65B5"/>
    <w:rsid w:val="004A78BA"/>
    <w:rsid w:val="004B4BB6"/>
    <w:rsid w:val="004B4D4D"/>
    <w:rsid w:val="004C11A7"/>
    <w:rsid w:val="004C4541"/>
    <w:rsid w:val="004C4CA5"/>
    <w:rsid w:val="004C5F3F"/>
    <w:rsid w:val="004D0484"/>
    <w:rsid w:val="004D1AE5"/>
    <w:rsid w:val="004D6F74"/>
    <w:rsid w:val="004E269E"/>
    <w:rsid w:val="004E2959"/>
    <w:rsid w:val="004E3A10"/>
    <w:rsid w:val="004E58A5"/>
    <w:rsid w:val="004E6093"/>
    <w:rsid w:val="004E6F41"/>
    <w:rsid w:val="004F2492"/>
    <w:rsid w:val="00503551"/>
    <w:rsid w:val="0051222D"/>
    <w:rsid w:val="005145ED"/>
    <w:rsid w:val="00521683"/>
    <w:rsid w:val="00523E95"/>
    <w:rsid w:val="005245A4"/>
    <w:rsid w:val="00526949"/>
    <w:rsid w:val="00533D1C"/>
    <w:rsid w:val="00535DC9"/>
    <w:rsid w:val="005376B7"/>
    <w:rsid w:val="00540298"/>
    <w:rsid w:val="00541F3F"/>
    <w:rsid w:val="0054268F"/>
    <w:rsid w:val="005460A3"/>
    <w:rsid w:val="00547DD7"/>
    <w:rsid w:val="00550252"/>
    <w:rsid w:val="00551A8D"/>
    <w:rsid w:val="005523A5"/>
    <w:rsid w:val="00553DEC"/>
    <w:rsid w:val="00554002"/>
    <w:rsid w:val="00557C07"/>
    <w:rsid w:val="00567E42"/>
    <w:rsid w:val="00572E35"/>
    <w:rsid w:val="00576234"/>
    <w:rsid w:val="005818A8"/>
    <w:rsid w:val="005842DF"/>
    <w:rsid w:val="0058734B"/>
    <w:rsid w:val="005903F3"/>
    <w:rsid w:val="00591B89"/>
    <w:rsid w:val="005926B7"/>
    <w:rsid w:val="00593B03"/>
    <w:rsid w:val="00593F40"/>
    <w:rsid w:val="0059697A"/>
    <w:rsid w:val="005A5EEB"/>
    <w:rsid w:val="005A79A4"/>
    <w:rsid w:val="005B5BDF"/>
    <w:rsid w:val="005B790A"/>
    <w:rsid w:val="005C05F7"/>
    <w:rsid w:val="005C05FA"/>
    <w:rsid w:val="005C49BA"/>
    <w:rsid w:val="005C5B1D"/>
    <w:rsid w:val="005D0D16"/>
    <w:rsid w:val="005E1CE0"/>
    <w:rsid w:val="005E6164"/>
    <w:rsid w:val="005F28F8"/>
    <w:rsid w:val="005F2CE6"/>
    <w:rsid w:val="005F45A8"/>
    <w:rsid w:val="005F5D8E"/>
    <w:rsid w:val="00605CB4"/>
    <w:rsid w:val="00606E2B"/>
    <w:rsid w:val="00610C41"/>
    <w:rsid w:val="00612D79"/>
    <w:rsid w:val="0061390B"/>
    <w:rsid w:val="00615F78"/>
    <w:rsid w:val="00620BEB"/>
    <w:rsid w:val="00622C65"/>
    <w:rsid w:val="00632593"/>
    <w:rsid w:val="006353D1"/>
    <w:rsid w:val="00637F19"/>
    <w:rsid w:val="00641752"/>
    <w:rsid w:val="00645DF5"/>
    <w:rsid w:val="00645EA4"/>
    <w:rsid w:val="00650F05"/>
    <w:rsid w:val="0065454E"/>
    <w:rsid w:val="00657B01"/>
    <w:rsid w:val="00661BB3"/>
    <w:rsid w:val="00666DE4"/>
    <w:rsid w:val="006755C1"/>
    <w:rsid w:val="006811C5"/>
    <w:rsid w:val="00686B2A"/>
    <w:rsid w:val="006911F3"/>
    <w:rsid w:val="006A135D"/>
    <w:rsid w:val="006A2D10"/>
    <w:rsid w:val="006A5214"/>
    <w:rsid w:val="006A6067"/>
    <w:rsid w:val="006A7A79"/>
    <w:rsid w:val="006B4A5D"/>
    <w:rsid w:val="006C38A8"/>
    <w:rsid w:val="006D21ED"/>
    <w:rsid w:val="006D66AE"/>
    <w:rsid w:val="006D725E"/>
    <w:rsid w:val="006E3745"/>
    <w:rsid w:val="006F220A"/>
    <w:rsid w:val="006F6553"/>
    <w:rsid w:val="007029E1"/>
    <w:rsid w:val="00702D65"/>
    <w:rsid w:val="00710028"/>
    <w:rsid w:val="007103A5"/>
    <w:rsid w:val="00710D22"/>
    <w:rsid w:val="007111CD"/>
    <w:rsid w:val="00717EF8"/>
    <w:rsid w:val="0072164F"/>
    <w:rsid w:val="007253E7"/>
    <w:rsid w:val="0072736C"/>
    <w:rsid w:val="007315D8"/>
    <w:rsid w:val="00740BD1"/>
    <w:rsid w:val="00743CFD"/>
    <w:rsid w:val="007664C1"/>
    <w:rsid w:val="007700C2"/>
    <w:rsid w:val="00772382"/>
    <w:rsid w:val="00782EFA"/>
    <w:rsid w:val="00785519"/>
    <w:rsid w:val="007866A5"/>
    <w:rsid w:val="0079299D"/>
    <w:rsid w:val="00792D31"/>
    <w:rsid w:val="00794D36"/>
    <w:rsid w:val="007952E9"/>
    <w:rsid w:val="00795500"/>
    <w:rsid w:val="0079639C"/>
    <w:rsid w:val="00796CB2"/>
    <w:rsid w:val="007A410D"/>
    <w:rsid w:val="007A66FE"/>
    <w:rsid w:val="007A713B"/>
    <w:rsid w:val="007B3290"/>
    <w:rsid w:val="007B42D0"/>
    <w:rsid w:val="007B4FCE"/>
    <w:rsid w:val="007B681E"/>
    <w:rsid w:val="007C1DB9"/>
    <w:rsid w:val="007C2FD2"/>
    <w:rsid w:val="007C62A6"/>
    <w:rsid w:val="007C6F18"/>
    <w:rsid w:val="007C7B84"/>
    <w:rsid w:val="007D2916"/>
    <w:rsid w:val="007D29EC"/>
    <w:rsid w:val="007D4BBD"/>
    <w:rsid w:val="007D67CC"/>
    <w:rsid w:val="007E1660"/>
    <w:rsid w:val="007E1FC2"/>
    <w:rsid w:val="007F09BE"/>
    <w:rsid w:val="007F1327"/>
    <w:rsid w:val="007F140C"/>
    <w:rsid w:val="007F186E"/>
    <w:rsid w:val="007F197B"/>
    <w:rsid w:val="0080339F"/>
    <w:rsid w:val="0080612D"/>
    <w:rsid w:val="00806354"/>
    <w:rsid w:val="0080692E"/>
    <w:rsid w:val="00806CD5"/>
    <w:rsid w:val="00806F4A"/>
    <w:rsid w:val="0080753A"/>
    <w:rsid w:val="008111C8"/>
    <w:rsid w:val="008149F4"/>
    <w:rsid w:val="00814F10"/>
    <w:rsid w:val="00815011"/>
    <w:rsid w:val="00815817"/>
    <w:rsid w:val="00815EF6"/>
    <w:rsid w:val="00816F85"/>
    <w:rsid w:val="00820D28"/>
    <w:rsid w:val="00822591"/>
    <w:rsid w:val="00827E8A"/>
    <w:rsid w:val="008316CB"/>
    <w:rsid w:val="0083288D"/>
    <w:rsid w:val="0083605E"/>
    <w:rsid w:val="00840F4E"/>
    <w:rsid w:val="008463FD"/>
    <w:rsid w:val="00853880"/>
    <w:rsid w:val="00856132"/>
    <w:rsid w:val="00860311"/>
    <w:rsid w:val="00861497"/>
    <w:rsid w:val="008649BB"/>
    <w:rsid w:val="008655EA"/>
    <w:rsid w:val="00867CA5"/>
    <w:rsid w:val="00873ECE"/>
    <w:rsid w:val="008740D4"/>
    <w:rsid w:val="00874708"/>
    <w:rsid w:val="00875F92"/>
    <w:rsid w:val="00876CE2"/>
    <w:rsid w:val="0087785E"/>
    <w:rsid w:val="00892203"/>
    <w:rsid w:val="0089393F"/>
    <w:rsid w:val="008A0893"/>
    <w:rsid w:val="008A11C6"/>
    <w:rsid w:val="008A1D22"/>
    <w:rsid w:val="008A4884"/>
    <w:rsid w:val="008B13D2"/>
    <w:rsid w:val="008B3268"/>
    <w:rsid w:val="008B361D"/>
    <w:rsid w:val="008C1554"/>
    <w:rsid w:val="008C3F42"/>
    <w:rsid w:val="008C53CE"/>
    <w:rsid w:val="008E2B15"/>
    <w:rsid w:val="008E33F3"/>
    <w:rsid w:val="008E3B84"/>
    <w:rsid w:val="008E54BD"/>
    <w:rsid w:val="008F1360"/>
    <w:rsid w:val="008F229B"/>
    <w:rsid w:val="008F2A6E"/>
    <w:rsid w:val="00903C18"/>
    <w:rsid w:val="00906E0C"/>
    <w:rsid w:val="00907943"/>
    <w:rsid w:val="00912194"/>
    <w:rsid w:val="009123AA"/>
    <w:rsid w:val="009127EC"/>
    <w:rsid w:val="00916E97"/>
    <w:rsid w:val="00920372"/>
    <w:rsid w:val="0092164B"/>
    <w:rsid w:val="009223B5"/>
    <w:rsid w:val="0092326A"/>
    <w:rsid w:val="009260D3"/>
    <w:rsid w:val="009316EC"/>
    <w:rsid w:val="009317CD"/>
    <w:rsid w:val="00934728"/>
    <w:rsid w:val="009644D9"/>
    <w:rsid w:val="00964539"/>
    <w:rsid w:val="0097131C"/>
    <w:rsid w:val="00972485"/>
    <w:rsid w:val="00973185"/>
    <w:rsid w:val="00982F5B"/>
    <w:rsid w:val="009870E4"/>
    <w:rsid w:val="00992BCC"/>
    <w:rsid w:val="009A12FA"/>
    <w:rsid w:val="009A564D"/>
    <w:rsid w:val="009B0D7B"/>
    <w:rsid w:val="009B3615"/>
    <w:rsid w:val="009B3801"/>
    <w:rsid w:val="009B534D"/>
    <w:rsid w:val="009B591A"/>
    <w:rsid w:val="009C30FE"/>
    <w:rsid w:val="009C3E56"/>
    <w:rsid w:val="009C483C"/>
    <w:rsid w:val="009D2477"/>
    <w:rsid w:val="009D2D8B"/>
    <w:rsid w:val="009D4A74"/>
    <w:rsid w:val="009D5253"/>
    <w:rsid w:val="009D5D79"/>
    <w:rsid w:val="009D64FE"/>
    <w:rsid w:val="009D75BB"/>
    <w:rsid w:val="009E0994"/>
    <w:rsid w:val="009E25E0"/>
    <w:rsid w:val="009E2C77"/>
    <w:rsid w:val="009E4452"/>
    <w:rsid w:val="009E5993"/>
    <w:rsid w:val="009E6D3E"/>
    <w:rsid w:val="009E7578"/>
    <w:rsid w:val="009E75B7"/>
    <w:rsid w:val="009F2C6B"/>
    <w:rsid w:val="009F5C7B"/>
    <w:rsid w:val="00A031CE"/>
    <w:rsid w:val="00A04421"/>
    <w:rsid w:val="00A11A0D"/>
    <w:rsid w:val="00A22080"/>
    <w:rsid w:val="00A223D3"/>
    <w:rsid w:val="00A32D1B"/>
    <w:rsid w:val="00A42079"/>
    <w:rsid w:val="00A4664E"/>
    <w:rsid w:val="00A531E8"/>
    <w:rsid w:val="00A573ED"/>
    <w:rsid w:val="00A60F08"/>
    <w:rsid w:val="00A61766"/>
    <w:rsid w:val="00A63022"/>
    <w:rsid w:val="00A6692C"/>
    <w:rsid w:val="00A71A7E"/>
    <w:rsid w:val="00A776D7"/>
    <w:rsid w:val="00A91C60"/>
    <w:rsid w:val="00A91E48"/>
    <w:rsid w:val="00A96E37"/>
    <w:rsid w:val="00A97444"/>
    <w:rsid w:val="00AA186F"/>
    <w:rsid w:val="00AA29E5"/>
    <w:rsid w:val="00AB0678"/>
    <w:rsid w:val="00AB3750"/>
    <w:rsid w:val="00AB4BF2"/>
    <w:rsid w:val="00AC00CF"/>
    <w:rsid w:val="00AC4EFA"/>
    <w:rsid w:val="00AC52CB"/>
    <w:rsid w:val="00AC5310"/>
    <w:rsid w:val="00AC7794"/>
    <w:rsid w:val="00AC7ECD"/>
    <w:rsid w:val="00AD009F"/>
    <w:rsid w:val="00AE6128"/>
    <w:rsid w:val="00AF299E"/>
    <w:rsid w:val="00AF54C5"/>
    <w:rsid w:val="00AF56FD"/>
    <w:rsid w:val="00AF5EA0"/>
    <w:rsid w:val="00B066DA"/>
    <w:rsid w:val="00B072C0"/>
    <w:rsid w:val="00B10135"/>
    <w:rsid w:val="00B10769"/>
    <w:rsid w:val="00B113F9"/>
    <w:rsid w:val="00B118A2"/>
    <w:rsid w:val="00B133D0"/>
    <w:rsid w:val="00B15418"/>
    <w:rsid w:val="00B17165"/>
    <w:rsid w:val="00B1737C"/>
    <w:rsid w:val="00B1758C"/>
    <w:rsid w:val="00B17639"/>
    <w:rsid w:val="00B23E58"/>
    <w:rsid w:val="00B23F73"/>
    <w:rsid w:val="00B30226"/>
    <w:rsid w:val="00B33C93"/>
    <w:rsid w:val="00B42124"/>
    <w:rsid w:val="00B443CE"/>
    <w:rsid w:val="00B449F5"/>
    <w:rsid w:val="00B4555A"/>
    <w:rsid w:val="00B51CAF"/>
    <w:rsid w:val="00B53C56"/>
    <w:rsid w:val="00B60464"/>
    <w:rsid w:val="00B606EF"/>
    <w:rsid w:val="00B618F8"/>
    <w:rsid w:val="00B64133"/>
    <w:rsid w:val="00B72E2D"/>
    <w:rsid w:val="00B745CB"/>
    <w:rsid w:val="00B805BD"/>
    <w:rsid w:val="00B80E26"/>
    <w:rsid w:val="00B81DA7"/>
    <w:rsid w:val="00B86490"/>
    <w:rsid w:val="00B873E2"/>
    <w:rsid w:val="00B91D3D"/>
    <w:rsid w:val="00B94E7D"/>
    <w:rsid w:val="00B97F08"/>
    <w:rsid w:val="00BA4663"/>
    <w:rsid w:val="00BA696B"/>
    <w:rsid w:val="00BA7212"/>
    <w:rsid w:val="00BC5F45"/>
    <w:rsid w:val="00BC71D6"/>
    <w:rsid w:val="00BD4C85"/>
    <w:rsid w:val="00BE1EFD"/>
    <w:rsid w:val="00BE4493"/>
    <w:rsid w:val="00BE456E"/>
    <w:rsid w:val="00BF3137"/>
    <w:rsid w:val="00BF4417"/>
    <w:rsid w:val="00BF44CB"/>
    <w:rsid w:val="00C02ECE"/>
    <w:rsid w:val="00C06AC7"/>
    <w:rsid w:val="00C13E0F"/>
    <w:rsid w:val="00C2031B"/>
    <w:rsid w:val="00C2080D"/>
    <w:rsid w:val="00C228D6"/>
    <w:rsid w:val="00C240C3"/>
    <w:rsid w:val="00C25562"/>
    <w:rsid w:val="00C265C5"/>
    <w:rsid w:val="00C27B89"/>
    <w:rsid w:val="00C34713"/>
    <w:rsid w:val="00C43DDB"/>
    <w:rsid w:val="00C46720"/>
    <w:rsid w:val="00C575E9"/>
    <w:rsid w:val="00C62202"/>
    <w:rsid w:val="00C6240E"/>
    <w:rsid w:val="00C647F2"/>
    <w:rsid w:val="00C66C6C"/>
    <w:rsid w:val="00C706BF"/>
    <w:rsid w:val="00C70FDD"/>
    <w:rsid w:val="00C73A39"/>
    <w:rsid w:val="00C80C0D"/>
    <w:rsid w:val="00C82E4D"/>
    <w:rsid w:val="00C85762"/>
    <w:rsid w:val="00C91234"/>
    <w:rsid w:val="00C93E36"/>
    <w:rsid w:val="00C950F3"/>
    <w:rsid w:val="00C96FB1"/>
    <w:rsid w:val="00CA1C01"/>
    <w:rsid w:val="00CB0962"/>
    <w:rsid w:val="00CB16F4"/>
    <w:rsid w:val="00CB1AC3"/>
    <w:rsid w:val="00CB1F18"/>
    <w:rsid w:val="00CB25EB"/>
    <w:rsid w:val="00CB2FD2"/>
    <w:rsid w:val="00CB3015"/>
    <w:rsid w:val="00CB60E6"/>
    <w:rsid w:val="00CB657C"/>
    <w:rsid w:val="00CC03C4"/>
    <w:rsid w:val="00CC3E40"/>
    <w:rsid w:val="00CC3FFA"/>
    <w:rsid w:val="00CC6C03"/>
    <w:rsid w:val="00CD1703"/>
    <w:rsid w:val="00CD4FE6"/>
    <w:rsid w:val="00CD5884"/>
    <w:rsid w:val="00CD5DE8"/>
    <w:rsid w:val="00CD70A0"/>
    <w:rsid w:val="00CD74BD"/>
    <w:rsid w:val="00CE7723"/>
    <w:rsid w:val="00CE7903"/>
    <w:rsid w:val="00CF42F6"/>
    <w:rsid w:val="00CF6C71"/>
    <w:rsid w:val="00CF7A9A"/>
    <w:rsid w:val="00D00D60"/>
    <w:rsid w:val="00D017E5"/>
    <w:rsid w:val="00D01A19"/>
    <w:rsid w:val="00D04FF1"/>
    <w:rsid w:val="00D07CDB"/>
    <w:rsid w:val="00D1367C"/>
    <w:rsid w:val="00D14B3E"/>
    <w:rsid w:val="00D1582A"/>
    <w:rsid w:val="00D17FB1"/>
    <w:rsid w:val="00D21BE4"/>
    <w:rsid w:val="00D25C5A"/>
    <w:rsid w:val="00D309C4"/>
    <w:rsid w:val="00D32D2F"/>
    <w:rsid w:val="00D341CA"/>
    <w:rsid w:val="00D41AF4"/>
    <w:rsid w:val="00D4554A"/>
    <w:rsid w:val="00D45E53"/>
    <w:rsid w:val="00D47039"/>
    <w:rsid w:val="00D55EAF"/>
    <w:rsid w:val="00D63655"/>
    <w:rsid w:val="00D66257"/>
    <w:rsid w:val="00D673AD"/>
    <w:rsid w:val="00D75630"/>
    <w:rsid w:val="00D762B2"/>
    <w:rsid w:val="00D81ED8"/>
    <w:rsid w:val="00D842AA"/>
    <w:rsid w:val="00D86D76"/>
    <w:rsid w:val="00D87130"/>
    <w:rsid w:val="00D93E0B"/>
    <w:rsid w:val="00DA6860"/>
    <w:rsid w:val="00DA7546"/>
    <w:rsid w:val="00DB1A98"/>
    <w:rsid w:val="00DB4E25"/>
    <w:rsid w:val="00DB6FBE"/>
    <w:rsid w:val="00DC47C0"/>
    <w:rsid w:val="00DC68BB"/>
    <w:rsid w:val="00DC6C77"/>
    <w:rsid w:val="00DD145E"/>
    <w:rsid w:val="00DD1480"/>
    <w:rsid w:val="00DD29E1"/>
    <w:rsid w:val="00DD334E"/>
    <w:rsid w:val="00DE02C4"/>
    <w:rsid w:val="00DF07E7"/>
    <w:rsid w:val="00DF164D"/>
    <w:rsid w:val="00DF1796"/>
    <w:rsid w:val="00DF270D"/>
    <w:rsid w:val="00DF3137"/>
    <w:rsid w:val="00DF3B28"/>
    <w:rsid w:val="00DF5606"/>
    <w:rsid w:val="00DF56EC"/>
    <w:rsid w:val="00E020F2"/>
    <w:rsid w:val="00E02FF2"/>
    <w:rsid w:val="00E12059"/>
    <w:rsid w:val="00E17555"/>
    <w:rsid w:val="00E204D2"/>
    <w:rsid w:val="00E25D21"/>
    <w:rsid w:val="00E2618F"/>
    <w:rsid w:val="00E31716"/>
    <w:rsid w:val="00E32B95"/>
    <w:rsid w:val="00E34551"/>
    <w:rsid w:val="00E34EAB"/>
    <w:rsid w:val="00E373B2"/>
    <w:rsid w:val="00E40036"/>
    <w:rsid w:val="00E41969"/>
    <w:rsid w:val="00E423B5"/>
    <w:rsid w:val="00E45000"/>
    <w:rsid w:val="00E451FD"/>
    <w:rsid w:val="00E4667F"/>
    <w:rsid w:val="00E50E93"/>
    <w:rsid w:val="00E52CE0"/>
    <w:rsid w:val="00E556EC"/>
    <w:rsid w:val="00E55B22"/>
    <w:rsid w:val="00E60D44"/>
    <w:rsid w:val="00E63EF8"/>
    <w:rsid w:val="00E64502"/>
    <w:rsid w:val="00E66570"/>
    <w:rsid w:val="00E66C98"/>
    <w:rsid w:val="00E72567"/>
    <w:rsid w:val="00E7672C"/>
    <w:rsid w:val="00E771D2"/>
    <w:rsid w:val="00E80EDB"/>
    <w:rsid w:val="00E84794"/>
    <w:rsid w:val="00E847DF"/>
    <w:rsid w:val="00E90013"/>
    <w:rsid w:val="00E928BB"/>
    <w:rsid w:val="00E93488"/>
    <w:rsid w:val="00EA0CCD"/>
    <w:rsid w:val="00EA28CA"/>
    <w:rsid w:val="00EA4444"/>
    <w:rsid w:val="00EA6A01"/>
    <w:rsid w:val="00EB0E23"/>
    <w:rsid w:val="00EB17AF"/>
    <w:rsid w:val="00EB4C04"/>
    <w:rsid w:val="00EB56F2"/>
    <w:rsid w:val="00EC08B2"/>
    <w:rsid w:val="00EC2B12"/>
    <w:rsid w:val="00EC4D59"/>
    <w:rsid w:val="00ED06A6"/>
    <w:rsid w:val="00ED2A64"/>
    <w:rsid w:val="00ED451D"/>
    <w:rsid w:val="00ED7C55"/>
    <w:rsid w:val="00EE2FDC"/>
    <w:rsid w:val="00F07C02"/>
    <w:rsid w:val="00F157C6"/>
    <w:rsid w:val="00F234BF"/>
    <w:rsid w:val="00F268B3"/>
    <w:rsid w:val="00F27014"/>
    <w:rsid w:val="00F31CCA"/>
    <w:rsid w:val="00F32BBA"/>
    <w:rsid w:val="00F43E0E"/>
    <w:rsid w:val="00F473F0"/>
    <w:rsid w:val="00F47540"/>
    <w:rsid w:val="00F50569"/>
    <w:rsid w:val="00F51139"/>
    <w:rsid w:val="00F52969"/>
    <w:rsid w:val="00F55F14"/>
    <w:rsid w:val="00F622ED"/>
    <w:rsid w:val="00F65EEA"/>
    <w:rsid w:val="00F776D3"/>
    <w:rsid w:val="00F84075"/>
    <w:rsid w:val="00F90537"/>
    <w:rsid w:val="00F91733"/>
    <w:rsid w:val="00F920DB"/>
    <w:rsid w:val="00F95209"/>
    <w:rsid w:val="00F964AD"/>
    <w:rsid w:val="00FB3956"/>
    <w:rsid w:val="00FC0F8B"/>
    <w:rsid w:val="00FC24AF"/>
    <w:rsid w:val="00FD53BA"/>
    <w:rsid w:val="00FD6B0E"/>
    <w:rsid w:val="00FD7E42"/>
    <w:rsid w:val="00FE1B77"/>
    <w:rsid w:val="00FE40D8"/>
    <w:rsid w:val="00FE7219"/>
    <w:rsid w:val="00FF0163"/>
    <w:rsid w:val="01137E06"/>
    <w:rsid w:val="01375C3E"/>
    <w:rsid w:val="01954D8D"/>
    <w:rsid w:val="02E32A5D"/>
    <w:rsid w:val="035D5749"/>
    <w:rsid w:val="03A507DC"/>
    <w:rsid w:val="04C17862"/>
    <w:rsid w:val="04E41B77"/>
    <w:rsid w:val="057D13AE"/>
    <w:rsid w:val="064116B8"/>
    <w:rsid w:val="064A667C"/>
    <w:rsid w:val="06B2613D"/>
    <w:rsid w:val="06B753E3"/>
    <w:rsid w:val="07321D04"/>
    <w:rsid w:val="08A51999"/>
    <w:rsid w:val="090041E8"/>
    <w:rsid w:val="09B849A4"/>
    <w:rsid w:val="09F160E3"/>
    <w:rsid w:val="0A9E0927"/>
    <w:rsid w:val="0AC64130"/>
    <w:rsid w:val="0B42525D"/>
    <w:rsid w:val="0BF11AD7"/>
    <w:rsid w:val="0C1F7DEE"/>
    <w:rsid w:val="0C88769D"/>
    <w:rsid w:val="0CDE660D"/>
    <w:rsid w:val="0D032A7C"/>
    <w:rsid w:val="0DB77106"/>
    <w:rsid w:val="0DCE2D64"/>
    <w:rsid w:val="0E955A36"/>
    <w:rsid w:val="0F662138"/>
    <w:rsid w:val="0F9B0CE9"/>
    <w:rsid w:val="0FF35275"/>
    <w:rsid w:val="100732C8"/>
    <w:rsid w:val="10DA6205"/>
    <w:rsid w:val="10E86139"/>
    <w:rsid w:val="111441F0"/>
    <w:rsid w:val="113D3FD2"/>
    <w:rsid w:val="121F7D21"/>
    <w:rsid w:val="129B2E20"/>
    <w:rsid w:val="12AA5DF8"/>
    <w:rsid w:val="12C54559"/>
    <w:rsid w:val="12CB3DD7"/>
    <w:rsid w:val="132A04C1"/>
    <w:rsid w:val="1330029C"/>
    <w:rsid w:val="134E6356"/>
    <w:rsid w:val="13AE24B4"/>
    <w:rsid w:val="14D51A3C"/>
    <w:rsid w:val="15364A7C"/>
    <w:rsid w:val="15602ADB"/>
    <w:rsid w:val="15947E4C"/>
    <w:rsid w:val="15D52593"/>
    <w:rsid w:val="1626611D"/>
    <w:rsid w:val="16E2497F"/>
    <w:rsid w:val="17A736B0"/>
    <w:rsid w:val="18A2004D"/>
    <w:rsid w:val="19415809"/>
    <w:rsid w:val="197E6634"/>
    <w:rsid w:val="1B7329E7"/>
    <w:rsid w:val="1B8A2034"/>
    <w:rsid w:val="1BB46C31"/>
    <w:rsid w:val="1BC72FF7"/>
    <w:rsid w:val="1C161355"/>
    <w:rsid w:val="1CFF262F"/>
    <w:rsid w:val="1D03226A"/>
    <w:rsid w:val="1D5030CD"/>
    <w:rsid w:val="1D876087"/>
    <w:rsid w:val="1DFF64E4"/>
    <w:rsid w:val="1ECB51CD"/>
    <w:rsid w:val="1F515CF1"/>
    <w:rsid w:val="1FBD6B68"/>
    <w:rsid w:val="1FDC1B35"/>
    <w:rsid w:val="1FDD0CDB"/>
    <w:rsid w:val="2056595D"/>
    <w:rsid w:val="207554B7"/>
    <w:rsid w:val="20AE4DE8"/>
    <w:rsid w:val="21194658"/>
    <w:rsid w:val="216834DE"/>
    <w:rsid w:val="21996AC1"/>
    <w:rsid w:val="219F3EE2"/>
    <w:rsid w:val="21F57098"/>
    <w:rsid w:val="22BA3902"/>
    <w:rsid w:val="22BB5089"/>
    <w:rsid w:val="22EF0361"/>
    <w:rsid w:val="233407F6"/>
    <w:rsid w:val="23D146B7"/>
    <w:rsid w:val="240817CF"/>
    <w:rsid w:val="24321B2E"/>
    <w:rsid w:val="244B21DE"/>
    <w:rsid w:val="245C7DFE"/>
    <w:rsid w:val="247F3074"/>
    <w:rsid w:val="24B82D9D"/>
    <w:rsid w:val="251328EC"/>
    <w:rsid w:val="254016F5"/>
    <w:rsid w:val="258A2E5C"/>
    <w:rsid w:val="25B924F3"/>
    <w:rsid w:val="25E06B30"/>
    <w:rsid w:val="268419CF"/>
    <w:rsid w:val="26AC2D80"/>
    <w:rsid w:val="26F95364"/>
    <w:rsid w:val="2916719E"/>
    <w:rsid w:val="293961B5"/>
    <w:rsid w:val="29A303B9"/>
    <w:rsid w:val="2B9C319C"/>
    <w:rsid w:val="2C1D776C"/>
    <w:rsid w:val="2C453820"/>
    <w:rsid w:val="2C527F9F"/>
    <w:rsid w:val="2C6C12B9"/>
    <w:rsid w:val="2CA93C52"/>
    <w:rsid w:val="2D912E3A"/>
    <w:rsid w:val="2DC02C2B"/>
    <w:rsid w:val="2DE440F7"/>
    <w:rsid w:val="2E6F25DB"/>
    <w:rsid w:val="2E805E2F"/>
    <w:rsid w:val="2F412AB7"/>
    <w:rsid w:val="2FA14A50"/>
    <w:rsid w:val="2FA70F17"/>
    <w:rsid w:val="30CB447B"/>
    <w:rsid w:val="3115573F"/>
    <w:rsid w:val="32951C0D"/>
    <w:rsid w:val="32F131F1"/>
    <w:rsid w:val="33CE5AF4"/>
    <w:rsid w:val="33D72F2D"/>
    <w:rsid w:val="340E7198"/>
    <w:rsid w:val="34A75784"/>
    <w:rsid w:val="3581551C"/>
    <w:rsid w:val="35947F79"/>
    <w:rsid w:val="35D65FDD"/>
    <w:rsid w:val="36C14F46"/>
    <w:rsid w:val="36C44D71"/>
    <w:rsid w:val="373F75CC"/>
    <w:rsid w:val="37C101D4"/>
    <w:rsid w:val="38F320AA"/>
    <w:rsid w:val="38FB27F3"/>
    <w:rsid w:val="39584559"/>
    <w:rsid w:val="399D40A5"/>
    <w:rsid w:val="39E5435C"/>
    <w:rsid w:val="3A2F6D68"/>
    <w:rsid w:val="3AC9385E"/>
    <w:rsid w:val="3B3306F0"/>
    <w:rsid w:val="3B563B4D"/>
    <w:rsid w:val="3C2825B0"/>
    <w:rsid w:val="3C2B26B7"/>
    <w:rsid w:val="3C881F02"/>
    <w:rsid w:val="3CB420C3"/>
    <w:rsid w:val="3D8B796D"/>
    <w:rsid w:val="3DA80A30"/>
    <w:rsid w:val="3E643221"/>
    <w:rsid w:val="3EA032CC"/>
    <w:rsid w:val="3EC32453"/>
    <w:rsid w:val="3ECC520D"/>
    <w:rsid w:val="3EE0186C"/>
    <w:rsid w:val="3EEE419C"/>
    <w:rsid w:val="3EFE09FD"/>
    <w:rsid w:val="3F032E01"/>
    <w:rsid w:val="3F2C758E"/>
    <w:rsid w:val="3F345DBE"/>
    <w:rsid w:val="40164730"/>
    <w:rsid w:val="40F15753"/>
    <w:rsid w:val="41F950F8"/>
    <w:rsid w:val="428A4A5E"/>
    <w:rsid w:val="42EB3BA1"/>
    <w:rsid w:val="42F51780"/>
    <w:rsid w:val="43F11831"/>
    <w:rsid w:val="43F63E0D"/>
    <w:rsid w:val="44092E2E"/>
    <w:rsid w:val="441077D2"/>
    <w:rsid w:val="44396064"/>
    <w:rsid w:val="458C38B3"/>
    <w:rsid w:val="459609D9"/>
    <w:rsid w:val="45A37566"/>
    <w:rsid w:val="45CF0A85"/>
    <w:rsid w:val="46020C32"/>
    <w:rsid w:val="46194A11"/>
    <w:rsid w:val="461E2AF1"/>
    <w:rsid w:val="47752ACA"/>
    <w:rsid w:val="47A71483"/>
    <w:rsid w:val="47C813F2"/>
    <w:rsid w:val="48352178"/>
    <w:rsid w:val="489B63EF"/>
    <w:rsid w:val="48D7317F"/>
    <w:rsid w:val="4953255E"/>
    <w:rsid w:val="49BF13F0"/>
    <w:rsid w:val="49D75468"/>
    <w:rsid w:val="49E169F0"/>
    <w:rsid w:val="4A1F6F8D"/>
    <w:rsid w:val="4A4A74EF"/>
    <w:rsid w:val="4A6F6249"/>
    <w:rsid w:val="4AA77B51"/>
    <w:rsid w:val="4AB74C38"/>
    <w:rsid w:val="4B14426D"/>
    <w:rsid w:val="4B6224E5"/>
    <w:rsid w:val="4B8C4A56"/>
    <w:rsid w:val="4BAB6225"/>
    <w:rsid w:val="4BF97936"/>
    <w:rsid w:val="4C2C4D07"/>
    <w:rsid w:val="4C457E30"/>
    <w:rsid w:val="4CAC2FB1"/>
    <w:rsid w:val="4D2A3925"/>
    <w:rsid w:val="4D597189"/>
    <w:rsid w:val="4DB20386"/>
    <w:rsid w:val="4DF02D90"/>
    <w:rsid w:val="4E665CB5"/>
    <w:rsid w:val="4EB84B21"/>
    <w:rsid w:val="4F271764"/>
    <w:rsid w:val="4F7D0512"/>
    <w:rsid w:val="4FAF4829"/>
    <w:rsid w:val="4FBA2B77"/>
    <w:rsid w:val="4FD46E6F"/>
    <w:rsid w:val="5005695E"/>
    <w:rsid w:val="50286811"/>
    <w:rsid w:val="50700F42"/>
    <w:rsid w:val="50B838CE"/>
    <w:rsid w:val="50ED1DE1"/>
    <w:rsid w:val="51266B84"/>
    <w:rsid w:val="51642661"/>
    <w:rsid w:val="5191036A"/>
    <w:rsid w:val="52465DB8"/>
    <w:rsid w:val="52940E89"/>
    <w:rsid w:val="546B5509"/>
    <w:rsid w:val="548642E9"/>
    <w:rsid w:val="54A17941"/>
    <w:rsid w:val="54C12E33"/>
    <w:rsid w:val="55633225"/>
    <w:rsid w:val="556D6DC3"/>
    <w:rsid w:val="563B25E1"/>
    <w:rsid w:val="566A208A"/>
    <w:rsid w:val="56DD4D3A"/>
    <w:rsid w:val="57555A7B"/>
    <w:rsid w:val="5770382C"/>
    <w:rsid w:val="57846909"/>
    <w:rsid w:val="57CB522F"/>
    <w:rsid w:val="57F46FBE"/>
    <w:rsid w:val="58042686"/>
    <w:rsid w:val="58246D5D"/>
    <w:rsid w:val="58EC5960"/>
    <w:rsid w:val="58F400B4"/>
    <w:rsid w:val="59151C86"/>
    <w:rsid w:val="59732982"/>
    <w:rsid w:val="598F0769"/>
    <w:rsid w:val="59C52328"/>
    <w:rsid w:val="5AD37D8A"/>
    <w:rsid w:val="5AF87BF9"/>
    <w:rsid w:val="5B0F1B49"/>
    <w:rsid w:val="5B906095"/>
    <w:rsid w:val="5BC6560B"/>
    <w:rsid w:val="5BF60A75"/>
    <w:rsid w:val="5C813B75"/>
    <w:rsid w:val="5C9F2D01"/>
    <w:rsid w:val="5D3F3466"/>
    <w:rsid w:val="5D5617A6"/>
    <w:rsid w:val="5D716329"/>
    <w:rsid w:val="5EA23F15"/>
    <w:rsid w:val="5EA7685B"/>
    <w:rsid w:val="5ED40954"/>
    <w:rsid w:val="5EFA4E95"/>
    <w:rsid w:val="60BE22C5"/>
    <w:rsid w:val="612C30C5"/>
    <w:rsid w:val="619A2BBF"/>
    <w:rsid w:val="61DF02D0"/>
    <w:rsid w:val="61FB37A1"/>
    <w:rsid w:val="62710E5F"/>
    <w:rsid w:val="62AD0966"/>
    <w:rsid w:val="63735B47"/>
    <w:rsid w:val="63FF1EA7"/>
    <w:rsid w:val="64C32497"/>
    <w:rsid w:val="669D0EEA"/>
    <w:rsid w:val="66B64FC1"/>
    <w:rsid w:val="66C861F9"/>
    <w:rsid w:val="66D04BBC"/>
    <w:rsid w:val="67655BF9"/>
    <w:rsid w:val="678C3343"/>
    <w:rsid w:val="67C6389B"/>
    <w:rsid w:val="685D4EEE"/>
    <w:rsid w:val="68AE1587"/>
    <w:rsid w:val="68CC4906"/>
    <w:rsid w:val="68D53E8D"/>
    <w:rsid w:val="699C76C5"/>
    <w:rsid w:val="6A194855"/>
    <w:rsid w:val="6A2F056E"/>
    <w:rsid w:val="6A7219A6"/>
    <w:rsid w:val="6B292599"/>
    <w:rsid w:val="6D9172E5"/>
    <w:rsid w:val="6DF1703F"/>
    <w:rsid w:val="6E133456"/>
    <w:rsid w:val="6ECB7DD2"/>
    <w:rsid w:val="6F123DD8"/>
    <w:rsid w:val="6F1E315D"/>
    <w:rsid w:val="6F2A3FC1"/>
    <w:rsid w:val="6F79454F"/>
    <w:rsid w:val="6FE61065"/>
    <w:rsid w:val="70675779"/>
    <w:rsid w:val="70C135EC"/>
    <w:rsid w:val="712C7DE8"/>
    <w:rsid w:val="713E0334"/>
    <w:rsid w:val="716F5E64"/>
    <w:rsid w:val="72417AFE"/>
    <w:rsid w:val="72585CB5"/>
    <w:rsid w:val="729B5F03"/>
    <w:rsid w:val="72D92B78"/>
    <w:rsid w:val="72F62A89"/>
    <w:rsid w:val="731B289D"/>
    <w:rsid w:val="736D22BA"/>
    <w:rsid w:val="737357AF"/>
    <w:rsid w:val="74163BE4"/>
    <w:rsid w:val="74A928A6"/>
    <w:rsid w:val="75292EAC"/>
    <w:rsid w:val="755A5FEF"/>
    <w:rsid w:val="75775016"/>
    <w:rsid w:val="758E0106"/>
    <w:rsid w:val="7626762C"/>
    <w:rsid w:val="763869A4"/>
    <w:rsid w:val="7667781E"/>
    <w:rsid w:val="76DD4C80"/>
    <w:rsid w:val="778F5135"/>
    <w:rsid w:val="77B53D6B"/>
    <w:rsid w:val="77D54B08"/>
    <w:rsid w:val="78431DDA"/>
    <w:rsid w:val="784F7772"/>
    <w:rsid w:val="785868AD"/>
    <w:rsid w:val="78713929"/>
    <w:rsid w:val="78E55995"/>
    <w:rsid w:val="79267C0B"/>
    <w:rsid w:val="793F61E8"/>
    <w:rsid w:val="79C90FB7"/>
    <w:rsid w:val="7A25684F"/>
    <w:rsid w:val="7A2847FC"/>
    <w:rsid w:val="7A4975BA"/>
    <w:rsid w:val="7A5B105F"/>
    <w:rsid w:val="7A9E5DA7"/>
    <w:rsid w:val="7ABE4B56"/>
    <w:rsid w:val="7B264F79"/>
    <w:rsid w:val="7B3E5659"/>
    <w:rsid w:val="7B471C9D"/>
    <w:rsid w:val="7B4D21AB"/>
    <w:rsid w:val="7BCC4162"/>
    <w:rsid w:val="7C490DB7"/>
    <w:rsid w:val="7C7E37F7"/>
    <w:rsid w:val="7CD80967"/>
    <w:rsid w:val="7D0C2828"/>
    <w:rsid w:val="7D902239"/>
    <w:rsid w:val="7EAF7817"/>
    <w:rsid w:val="7F4E30FB"/>
    <w:rsid w:val="7F78012E"/>
    <w:rsid w:val="7F7B591C"/>
    <w:rsid w:val="7FC51DE6"/>
    <w:rsid w:val="7FD644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name="Balloon Text"/>
    <w:lsdException w:qFormat="1" w:uiPriority="0" w:semiHidden="0" w:name="Table Grid"/>
    <w:lsdException w:uiPriority="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99" w:semiHidden="0" w:name="Quote"/>
    <w:lsdException w:qFormat="1" w:unhideWhenUsed="0" w:uiPriority="99"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1"/>
      <w:lang w:val="en-US" w:eastAsia="zh-CN" w:bidi="ar-SA"/>
    </w:rPr>
  </w:style>
  <w:style w:type="paragraph" w:styleId="3">
    <w:name w:val="heading 1"/>
    <w:basedOn w:val="1"/>
    <w:next w:val="1"/>
    <w:link w:val="97"/>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103"/>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04"/>
    <w:semiHidden/>
    <w:unhideWhenUsed/>
    <w:qFormat/>
    <w:uiPriority w:val="0"/>
    <w:pPr>
      <w:keepNext/>
      <w:keepLines/>
      <w:spacing w:before="260" w:after="260" w:line="416" w:lineRule="auto"/>
      <w:outlineLvl w:val="2"/>
    </w:pPr>
    <w:rPr>
      <w:b/>
      <w:bCs/>
      <w:sz w:val="32"/>
      <w:szCs w:val="32"/>
    </w:rPr>
  </w:style>
  <w:style w:type="paragraph" w:styleId="6">
    <w:name w:val="heading 4"/>
    <w:basedOn w:val="1"/>
    <w:next w:val="1"/>
    <w:link w:val="105"/>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06"/>
    <w:semiHidden/>
    <w:unhideWhenUsed/>
    <w:qFormat/>
    <w:uiPriority w:val="0"/>
    <w:pPr>
      <w:keepNext/>
      <w:keepLines/>
      <w:spacing w:before="280" w:after="290" w:line="376" w:lineRule="auto"/>
      <w:outlineLvl w:val="4"/>
    </w:pPr>
    <w:rPr>
      <w:b/>
      <w:bCs/>
      <w:sz w:val="28"/>
      <w:szCs w:val="28"/>
    </w:rPr>
  </w:style>
  <w:style w:type="paragraph" w:styleId="8">
    <w:name w:val="heading 6"/>
    <w:basedOn w:val="1"/>
    <w:next w:val="1"/>
    <w:link w:val="107"/>
    <w:semiHidden/>
    <w:unhideWhenUsed/>
    <w:qFormat/>
    <w:uiPriority w:val="0"/>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08"/>
    <w:semiHidden/>
    <w:unhideWhenUsed/>
    <w:qFormat/>
    <w:uiPriority w:val="0"/>
    <w:pPr>
      <w:keepNext/>
      <w:keepLines/>
      <w:spacing w:before="240" w:after="64" w:line="320" w:lineRule="auto"/>
      <w:outlineLvl w:val="6"/>
    </w:pPr>
    <w:rPr>
      <w:b/>
      <w:bCs/>
      <w:sz w:val="24"/>
      <w:szCs w:val="24"/>
    </w:rPr>
  </w:style>
  <w:style w:type="paragraph" w:styleId="10">
    <w:name w:val="heading 8"/>
    <w:basedOn w:val="1"/>
    <w:next w:val="1"/>
    <w:link w:val="109"/>
    <w:semiHidden/>
    <w:unhideWhenUsed/>
    <w:qFormat/>
    <w:uiPriority w:val="0"/>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0"/>
    <w:semiHidden/>
    <w:unhideWhenUsed/>
    <w:qFormat/>
    <w:uiPriority w:val="0"/>
    <w:pPr>
      <w:keepNext/>
      <w:keepLines/>
      <w:spacing w:before="240" w:after="64" w:line="320" w:lineRule="auto"/>
      <w:outlineLvl w:val="8"/>
    </w:pPr>
    <w:rPr>
      <w:rFonts w:asciiTheme="majorHAnsi" w:hAnsiTheme="majorHAnsi" w:eastAsiaTheme="majorEastAsia" w:cstheme="majorBidi"/>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15"/>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qFormat/>
    <w:uiPriority w:val="0"/>
    <w:pPr>
      <w:ind w:left="100" w:leftChars="400" w:hanging="200" w:hangingChars="200"/>
      <w:contextualSpacing/>
    </w:pPr>
  </w:style>
  <w:style w:type="paragraph" w:styleId="13">
    <w:name w:val="toc 7"/>
    <w:basedOn w:val="1"/>
    <w:next w:val="1"/>
    <w:qFormat/>
    <w:uiPriority w:val="0"/>
    <w:pPr>
      <w:ind w:left="2520" w:leftChars="1200"/>
    </w:pPr>
  </w:style>
  <w:style w:type="paragraph" w:styleId="14">
    <w:name w:val="List Number 2"/>
    <w:basedOn w:val="1"/>
    <w:qFormat/>
    <w:uiPriority w:val="0"/>
    <w:pPr>
      <w:numPr>
        <w:ilvl w:val="0"/>
        <w:numId w:val="1"/>
      </w:numPr>
      <w:contextualSpacing/>
    </w:pPr>
  </w:style>
  <w:style w:type="paragraph" w:styleId="15">
    <w:name w:val="table of authorities"/>
    <w:basedOn w:val="1"/>
    <w:next w:val="1"/>
    <w:qFormat/>
    <w:uiPriority w:val="0"/>
    <w:pPr>
      <w:ind w:left="420" w:leftChars="200"/>
    </w:pPr>
  </w:style>
  <w:style w:type="paragraph" w:styleId="16">
    <w:name w:val="Note Heading"/>
    <w:basedOn w:val="1"/>
    <w:next w:val="1"/>
    <w:link w:val="140"/>
    <w:qFormat/>
    <w:uiPriority w:val="0"/>
    <w:pPr>
      <w:jc w:val="center"/>
    </w:pPr>
  </w:style>
  <w:style w:type="paragraph" w:styleId="17">
    <w:name w:val="List Bullet 4"/>
    <w:basedOn w:val="1"/>
    <w:qFormat/>
    <w:uiPriority w:val="0"/>
    <w:pPr>
      <w:numPr>
        <w:ilvl w:val="0"/>
        <w:numId w:val="2"/>
      </w:numPr>
      <w:contextualSpacing/>
    </w:pPr>
  </w:style>
  <w:style w:type="paragraph" w:styleId="18">
    <w:name w:val="index 8"/>
    <w:basedOn w:val="1"/>
    <w:next w:val="1"/>
    <w:qFormat/>
    <w:uiPriority w:val="0"/>
    <w:pPr>
      <w:ind w:left="1400" w:leftChars="1400"/>
    </w:pPr>
  </w:style>
  <w:style w:type="paragraph" w:styleId="19">
    <w:name w:val="E-mail Signature"/>
    <w:basedOn w:val="1"/>
    <w:link w:val="113"/>
    <w:qFormat/>
    <w:uiPriority w:val="0"/>
  </w:style>
  <w:style w:type="paragraph" w:styleId="20">
    <w:name w:val="List Number"/>
    <w:basedOn w:val="1"/>
    <w:qFormat/>
    <w:uiPriority w:val="0"/>
    <w:pPr>
      <w:numPr>
        <w:ilvl w:val="0"/>
        <w:numId w:val="3"/>
      </w:numPr>
      <w:contextualSpacing/>
    </w:pPr>
  </w:style>
  <w:style w:type="paragraph" w:styleId="21">
    <w:name w:val="Normal Indent"/>
    <w:basedOn w:val="1"/>
    <w:qFormat/>
    <w:uiPriority w:val="0"/>
    <w:pPr>
      <w:ind w:firstLine="420" w:firstLineChars="200"/>
    </w:pPr>
  </w:style>
  <w:style w:type="paragraph" w:styleId="22">
    <w:name w:val="caption"/>
    <w:basedOn w:val="1"/>
    <w:next w:val="1"/>
    <w:semiHidden/>
    <w:unhideWhenUsed/>
    <w:qFormat/>
    <w:uiPriority w:val="0"/>
    <w:rPr>
      <w:rFonts w:eastAsia="黑体" w:asciiTheme="majorHAnsi" w:hAnsiTheme="majorHAnsi" w:cstheme="majorBidi"/>
      <w:sz w:val="20"/>
      <w:szCs w:val="20"/>
    </w:rPr>
  </w:style>
  <w:style w:type="paragraph" w:styleId="23">
    <w:name w:val="index 5"/>
    <w:basedOn w:val="1"/>
    <w:next w:val="1"/>
    <w:qFormat/>
    <w:uiPriority w:val="0"/>
    <w:pPr>
      <w:ind w:left="800" w:leftChars="800"/>
    </w:pPr>
  </w:style>
  <w:style w:type="paragraph" w:styleId="24">
    <w:name w:val="List Bullet"/>
    <w:basedOn w:val="1"/>
    <w:qFormat/>
    <w:uiPriority w:val="0"/>
    <w:pPr>
      <w:numPr>
        <w:ilvl w:val="0"/>
        <w:numId w:val="4"/>
      </w:numPr>
      <w:contextualSpacing/>
    </w:pPr>
  </w:style>
  <w:style w:type="paragraph" w:styleId="25">
    <w:name w:val="envelope address"/>
    <w:basedOn w:val="1"/>
    <w:qFormat/>
    <w:uiPriority w:val="0"/>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27"/>
    <w:qFormat/>
    <w:uiPriority w:val="0"/>
    <w:rPr>
      <w:rFonts w:ascii="Microsoft YaHei UI" w:eastAsia="Microsoft YaHei UI"/>
      <w:sz w:val="18"/>
      <w:szCs w:val="18"/>
    </w:rPr>
  </w:style>
  <w:style w:type="paragraph" w:styleId="27">
    <w:name w:val="toa heading"/>
    <w:basedOn w:val="1"/>
    <w:next w:val="1"/>
    <w:qFormat/>
    <w:uiPriority w:val="0"/>
    <w:pPr>
      <w:spacing w:before="120"/>
    </w:pPr>
    <w:rPr>
      <w:rFonts w:asciiTheme="majorHAnsi" w:hAnsiTheme="majorHAnsi" w:eastAsiaTheme="majorEastAsia" w:cstheme="majorBidi"/>
      <w:sz w:val="24"/>
      <w:szCs w:val="24"/>
    </w:rPr>
  </w:style>
  <w:style w:type="paragraph" w:styleId="28">
    <w:name w:val="annotation text"/>
    <w:basedOn w:val="1"/>
    <w:link w:val="12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link w:val="111"/>
    <w:qFormat/>
    <w:uiPriority w:val="0"/>
  </w:style>
  <w:style w:type="paragraph" w:styleId="31">
    <w:name w:val="Body Text 3"/>
    <w:basedOn w:val="1"/>
    <w:link w:val="137"/>
    <w:qFormat/>
    <w:uiPriority w:val="0"/>
    <w:pPr>
      <w:spacing w:after="120"/>
    </w:pPr>
    <w:rPr>
      <w:sz w:val="16"/>
      <w:szCs w:val="16"/>
    </w:rPr>
  </w:style>
  <w:style w:type="paragraph" w:styleId="32">
    <w:name w:val="Closing"/>
    <w:basedOn w:val="1"/>
    <w:link w:val="117"/>
    <w:qFormat/>
    <w:uiPriority w:val="0"/>
    <w:pPr>
      <w:ind w:left="100" w:leftChars="2100"/>
    </w:pPr>
  </w:style>
  <w:style w:type="paragraph" w:styleId="33">
    <w:name w:val="List Bullet 3"/>
    <w:basedOn w:val="1"/>
    <w:qFormat/>
    <w:uiPriority w:val="0"/>
    <w:pPr>
      <w:numPr>
        <w:ilvl w:val="0"/>
        <w:numId w:val="5"/>
      </w:numPr>
      <w:contextualSpacing/>
    </w:pPr>
  </w:style>
  <w:style w:type="paragraph" w:styleId="34">
    <w:name w:val="Body Text"/>
    <w:basedOn w:val="1"/>
    <w:link w:val="132"/>
    <w:qFormat/>
    <w:uiPriority w:val="0"/>
    <w:pPr>
      <w:spacing w:after="120"/>
    </w:pPr>
  </w:style>
  <w:style w:type="paragraph" w:styleId="35">
    <w:name w:val="Body Text Indent"/>
    <w:basedOn w:val="1"/>
    <w:link w:val="134"/>
    <w:qFormat/>
    <w:uiPriority w:val="0"/>
    <w:pPr>
      <w:spacing w:after="120"/>
      <w:ind w:left="420" w:leftChars="200"/>
    </w:pPr>
  </w:style>
  <w:style w:type="paragraph" w:styleId="36">
    <w:name w:val="List Number 3"/>
    <w:basedOn w:val="1"/>
    <w:qFormat/>
    <w:uiPriority w:val="0"/>
    <w:pPr>
      <w:numPr>
        <w:ilvl w:val="0"/>
        <w:numId w:val="6"/>
      </w:numPr>
      <w:contextualSpacing/>
    </w:pPr>
  </w:style>
  <w:style w:type="paragraph" w:styleId="37">
    <w:name w:val="List 2"/>
    <w:basedOn w:val="1"/>
    <w:qFormat/>
    <w:uiPriority w:val="0"/>
    <w:pPr>
      <w:ind w:left="100" w:leftChars="200" w:hanging="200" w:hangingChars="200"/>
      <w:contextualSpacing/>
    </w:pPr>
  </w:style>
  <w:style w:type="paragraph" w:styleId="38">
    <w:name w:val="List Continue"/>
    <w:basedOn w:val="1"/>
    <w:qFormat/>
    <w:uiPriority w:val="0"/>
    <w:pPr>
      <w:spacing w:after="120"/>
      <w:ind w:left="420" w:leftChars="200"/>
      <w:contextualSpacing/>
    </w:pPr>
  </w:style>
  <w:style w:type="paragraph" w:styleId="39">
    <w:name w:val="Block Text"/>
    <w:basedOn w:val="1"/>
    <w:qFormat/>
    <w:uiPriority w:val="0"/>
    <w:pPr>
      <w:spacing w:after="120"/>
      <w:ind w:left="1440" w:leftChars="700" w:right="1440" w:rightChars="700"/>
    </w:pPr>
  </w:style>
  <w:style w:type="paragraph" w:styleId="40">
    <w:name w:val="List Bullet 2"/>
    <w:basedOn w:val="1"/>
    <w:qFormat/>
    <w:uiPriority w:val="0"/>
    <w:pPr>
      <w:numPr>
        <w:ilvl w:val="0"/>
        <w:numId w:val="7"/>
      </w:numPr>
      <w:contextualSpacing/>
    </w:pPr>
  </w:style>
  <w:style w:type="paragraph" w:styleId="41">
    <w:name w:val="HTML Address"/>
    <w:basedOn w:val="1"/>
    <w:link w:val="99"/>
    <w:qFormat/>
    <w:uiPriority w:val="0"/>
    <w:rPr>
      <w:i/>
      <w:iCs/>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link w:val="112"/>
    <w:qFormat/>
    <w:uiPriority w:val="0"/>
    <w:rPr>
      <w:rFonts w:hAnsi="Courier New" w:cs="Courier New" w:asciiTheme="minorEastAsia" w:eastAsiaTheme="minorEastAsia"/>
    </w:rPr>
  </w:style>
  <w:style w:type="paragraph" w:styleId="46">
    <w:name w:val="List Bullet 5"/>
    <w:basedOn w:val="1"/>
    <w:qFormat/>
    <w:uiPriority w:val="0"/>
    <w:pPr>
      <w:numPr>
        <w:ilvl w:val="0"/>
        <w:numId w:val="8"/>
      </w:numPr>
      <w:contextualSpacing/>
    </w:pPr>
  </w:style>
  <w:style w:type="paragraph" w:styleId="47">
    <w:name w:val="List Number 4"/>
    <w:basedOn w:val="1"/>
    <w:qFormat/>
    <w:uiPriority w:val="0"/>
    <w:pPr>
      <w:numPr>
        <w:ilvl w:val="0"/>
        <w:numId w:val="9"/>
      </w:numPr>
      <w:contextualSpacing/>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link w:val="124"/>
    <w:qFormat/>
    <w:uiPriority w:val="0"/>
    <w:pPr>
      <w:ind w:left="100" w:leftChars="2500"/>
    </w:pPr>
  </w:style>
  <w:style w:type="paragraph" w:styleId="51">
    <w:name w:val="Body Text Indent 2"/>
    <w:basedOn w:val="1"/>
    <w:link w:val="138"/>
    <w:qFormat/>
    <w:uiPriority w:val="0"/>
    <w:pPr>
      <w:spacing w:after="120" w:line="480" w:lineRule="auto"/>
      <w:ind w:left="420" w:leftChars="200"/>
    </w:pPr>
  </w:style>
  <w:style w:type="paragraph" w:styleId="52">
    <w:name w:val="endnote text"/>
    <w:basedOn w:val="1"/>
    <w:link w:val="126"/>
    <w:qFormat/>
    <w:uiPriority w:val="0"/>
    <w:pPr>
      <w:snapToGrid w:val="0"/>
      <w:jc w:val="left"/>
    </w:pPr>
  </w:style>
  <w:style w:type="paragraph" w:styleId="53">
    <w:name w:val="List Continue 5"/>
    <w:basedOn w:val="1"/>
    <w:qFormat/>
    <w:uiPriority w:val="0"/>
    <w:pPr>
      <w:spacing w:after="120"/>
      <w:ind w:left="2100" w:leftChars="1000"/>
      <w:contextualSpacing/>
    </w:pPr>
  </w:style>
  <w:style w:type="paragraph" w:styleId="54">
    <w:name w:val="Balloon Text"/>
    <w:basedOn w:val="1"/>
    <w:link w:val="120"/>
    <w:semiHidden/>
    <w:unhideWhenUsed/>
    <w:qFormat/>
    <w:uiPriority w:val="0"/>
    <w:rPr>
      <w:sz w:val="18"/>
      <w:szCs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Theme="majorHAnsi" w:hAnsiTheme="majorHAnsi" w:eastAsiaTheme="majorEastAsia" w:cstheme="majorBidi"/>
    </w:rPr>
  </w:style>
  <w:style w:type="paragraph" w:styleId="5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8">
    <w:name w:val="Signature"/>
    <w:basedOn w:val="1"/>
    <w:link w:val="123"/>
    <w:qFormat/>
    <w:uiPriority w:val="0"/>
    <w:pPr>
      <w:ind w:left="100" w:leftChars="2100"/>
    </w:pPr>
  </w:style>
  <w:style w:type="paragraph" w:styleId="59">
    <w:name w:val="toc 1"/>
    <w:basedOn w:val="1"/>
    <w:next w:val="1"/>
    <w:qFormat/>
    <w:uiPriority w:val="39"/>
  </w:style>
  <w:style w:type="paragraph" w:styleId="60">
    <w:name w:val="List Continue 4"/>
    <w:basedOn w:val="1"/>
    <w:qFormat/>
    <w:uiPriority w:val="0"/>
    <w:pPr>
      <w:spacing w:after="120"/>
      <w:ind w:left="1680" w:leftChars="800"/>
      <w:contextualSpacing/>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Theme="majorHAnsi" w:hAnsiTheme="majorHAnsi" w:eastAsiaTheme="majorEastAsia" w:cstheme="majorBidi"/>
      <w:b/>
      <w:bCs/>
    </w:rPr>
  </w:style>
  <w:style w:type="paragraph" w:styleId="63">
    <w:name w:val="index 1"/>
    <w:basedOn w:val="1"/>
    <w:next w:val="1"/>
    <w:qFormat/>
    <w:uiPriority w:val="0"/>
  </w:style>
  <w:style w:type="paragraph" w:styleId="64">
    <w:name w:val="Subtitle"/>
    <w:basedOn w:val="1"/>
    <w:next w:val="1"/>
    <w:link w:val="114"/>
    <w:qFormat/>
    <w:uiPriority w:val="0"/>
    <w:pPr>
      <w:spacing w:before="240" w:after="60" w:line="312" w:lineRule="auto"/>
      <w:jc w:val="center"/>
      <w:outlineLvl w:val="1"/>
    </w:pPr>
    <w:rPr>
      <w:rFonts w:eastAsiaTheme="minorEastAsia"/>
      <w:b/>
      <w:bCs/>
      <w:kern w:val="28"/>
      <w:sz w:val="32"/>
      <w:szCs w:val="32"/>
    </w:rPr>
  </w:style>
  <w:style w:type="paragraph" w:styleId="65">
    <w:name w:val="List Number 5"/>
    <w:basedOn w:val="1"/>
    <w:qFormat/>
    <w:uiPriority w:val="0"/>
    <w:pPr>
      <w:numPr>
        <w:ilvl w:val="0"/>
        <w:numId w:val="10"/>
      </w:numPr>
      <w:contextualSpacing/>
    </w:pPr>
  </w:style>
  <w:style w:type="paragraph" w:styleId="66">
    <w:name w:val="List"/>
    <w:basedOn w:val="1"/>
    <w:qFormat/>
    <w:uiPriority w:val="0"/>
    <w:pPr>
      <w:ind w:left="200" w:hanging="200" w:hangingChars="200"/>
      <w:contextualSpacing/>
    </w:pPr>
  </w:style>
  <w:style w:type="paragraph" w:styleId="67">
    <w:name w:val="footnote text"/>
    <w:basedOn w:val="1"/>
    <w:link w:val="116"/>
    <w:qFormat/>
    <w:uiPriority w:val="0"/>
    <w:pPr>
      <w:snapToGrid w:val="0"/>
      <w:jc w:val="left"/>
    </w:pPr>
    <w:rPr>
      <w:sz w:val="18"/>
      <w:szCs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contextualSpacing/>
    </w:pPr>
  </w:style>
  <w:style w:type="paragraph" w:styleId="70">
    <w:name w:val="Body Text Indent 3"/>
    <w:basedOn w:val="1"/>
    <w:link w:val="139"/>
    <w:qFormat/>
    <w:uiPriority w:val="0"/>
    <w:pPr>
      <w:spacing w:after="120"/>
      <w:ind w:left="420" w:leftChars="200"/>
    </w:pPr>
    <w:rPr>
      <w:sz w:val="16"/>
      <w:szCs w:val="16"/>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39"/>
    <w:pPr>
      <w:ind w:left="420" w:leftChars="200"/>
    </w:pPr>
  </w:style>
  <w:style w:type="paragraph" w:styleId="75">
    <w:name w:val="toc 9"/>
    <w:basedOn w:val="1"/>
    <w:next w:val="1"/>
    <w:qFormat/>
    <w:uiPriority w:val="0"/>
    <w:pPr>
      <w:ind w:left="3360" w:leftChars="1600"/>
    </w:pPr>
  </w:style>
  <w:style w:type="paragraph" w:styleId="76">
    <w:name w:val="Body Text 2"/>
    <w:basedOn w:val="1"/>
    <w:link w:val="136"/>
    <w:qFormat/>
    <w:uiPriority w:val="0"/>
    <w:pPr>
      <w:spacing w:after="120" w:line="480" w:lineRule="auto"/>
    </w:pPr>
  </w:style>
  <w:style w:type="paragraph" w:styleId="77">
    <w:name w:val="List 4"/>
    <w:basedOn w:val="1"/>
    <w:qFormat/>
    <w:uiPriority w:val="0"/>
    <w:pPr>
      <w:ind w:left="100" w:leftChars="600" w:hanging="200" w:hangingChars="200"/>
      <w:contextualSpacing/>
    </w:pPr>
  </w:style>
  <w:style w:type="paragraph" w:styleId="78">
    <w:name w:val="List Continue 2"/>
    <w:basedOn w:val="1"/>
    <w:qFormat/>
    <w:uiPriority w:val="0"/>
    <w:pPr>
      <w:spacing w:after="120"/>
      <w:ind w:left="840" w:leftChars="400"/>
      <w:contextualSpacing/>
    </w:pPr>
  </w:style>
  <w:style w:type="paragraph" w:styleId="79">
    <w:name w:val="Message Header"/>
    <w:basedOn w:val="1"/>
    <w:link w:val="129"/>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0"/>
    <w:qFormat/>
    <w:uiPriority w:val="0"/>
    <w:rPr>
      <w:rFonts w:ascii="Courier New" w:hAnsi="Courier New" w:cs="Courier New"/>
      <w:sz w:val="20"/>
      <w:szCs w:val="20"/>
    </w:rPr>
  </w:style>
  <w:style w:type="paragraph" w:styleId="81">
    <w:name w:val="Normal (Web)"/>
    <w:basedOn w:val="1"/>
    <w:qFormat/>
    <w:uiPriority w:val="0"/>
    <w:rPr>
      <w:rFonts w:ascii="Times New Roman" w:hAnsi="Times New Roman" w:cs="Times New Roman"/>
      <w:sz w:val="24"/>
      <w:szCs w:val="24"/>
    </w:rPr>
  </w:style>
  <w:style w:type="paragraph" w:styleId="82">
    <w:name w:val="List Continue 3"/>
    <w:basedOn w:val="1"/>
    <w:qFormat/>
    <w:uiPriority w:val="0"/>
    <w:pPr>
      <w:spacing w:after="120"/>
      <w:ind w:left="1260" w:leftChars="600"/>
      <w:contextualSpacing/>
    </w:pPr>
  </w:style>
  <w:style w:type="paragraph" w:styleId="83">
    <w:name w:val="index 2"/>
    <w:basedOn w:val="1"/>
    <w:next w:val="1"/>
    <w:qFormat/>
    <w:uiPriority w:val="0"/>
    <w:pPr>
      <w:ind w:left="200" w:leftChars="200"/>
    </w:pPr>
  </w:style>
  <w:style w:type="paragraph" w:styleId="84">
    <w:name w:val="Title"/>
    <w:basedOn w:val="1"/>
    <w:next w:val="1"/>
    <w:link w:val="102"/>
    <w:qFormat/>
    <w:uiPriority w:val="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22"/>
    <w:semiHidden/>
    <w:unhideWhenUsed/>
    <w:qFormat/>
    <w:uiPriority w:val="0"/>
    <w:rPr>
      <w:b/>
      <w:bCs/>
    </w:rPr>
  </w:style>
  <w:style w:type="paragraph" w:styleId="86">
    <w:name w:val="Body Text First Indent"/>
    <w:basedOn w:val="34"/>
    <w:link w:val="133"/>
    <w:qFormat/>
    <w:uiPriority w:val="0"/>
    <w:pPr>
      <w:ind w:firstLine="420" w:firstLineChars="100"/>
    </w:pPr>
  </w:style>
  <w:style w:type="paragraph" w:styleId="87">
    <w:name w:val="Body Text First Indent 2"/>
    <w:basedOn w:val="35"/>
    <w:link w:val="135"/>
    <w:qFormat/>
    <w:uiPriority w:val="0"/>
    <w:pPr>
      <w:ind w:firstLine="420" w:firstLineChars="200"/>
    </w:pPr>
  </w:style>
  <w:style w:type="table" w:styleId="89">
    <w:name w:val="Table Grid"/>
    <w:basedOn w:val="88"/>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FollowedHyperlink"/>
    <w:basedOn w:val="90"/>
    <w:qFormat/>
    <w:uiPriority w:val="0"/>
    <w:rPr>
      <w:color w:val="954F72" w:themeColor="followedHyperlink"/>
      <w:u w:val="single"/>
      <w14:textFill>
        <w14:solidFill>
          <w14:schemeClr w14:val="folHlink"/>
        </w14:solidFill>
      </w14:textFill>
    </w:rPr>
  </w:style>
  <w:style w:type="character" w:styleId="92">
    <w:name w:val="Hyperlink"/>
    <w:basedOn w:val="90"/>
    <w:qFormat/>
    <w:uiPriority w:val="99"/>
    <w:rPr>
      <w:color w:val="0563C1" w:themeColor="hyperlink"/>
      <w:u w:val="single"/>
      <w14:textFill>
        <w14:solidFill>
          <w14:schemeClr w14:val="hlink"/>
        </w14:solidFill>
      </w14:textFill>
    </w:rPr>
  </w:style>
  <w:style w:type="paragraph" w:customStyle="1" w:styleId="93">
    <w:name w:val="paragraph"/>
    <w:basedOn w:val="1"/>
    <w:qFormat/>
    <w:uiPriority w:val="0"/>
    <w:pPr>
      <w:widowControl/>
      <w:spacing w:before="100" w:beforeAutospacing="1" w:after="100" w:afterAutospacing="1"/>
      <w:jc w:val="left"/>
    </w:pPr>
    <w:rPr>
      <w:rFonts w:ascii="宋体" w:hAnsi="宋体" w:cs="宋体"/>
      <w:kern w:val="0"/>
      <w:sz w:val="24"/>
      <w:szCs w:val="24"/>
    </w:rPr>
  </w:style>
  <w:style w:type="paragraph" w:styleId="94">
    <w:name w:val="List Paragraph"/>
    <w:basedOn w:val="1"/>
    <w:qFormat/>
    <w:uiPriority w:val="99"/>
    <w:pPr>
      <w:ind w:firstLine="420" w:firstLineChars="200"/>
    </w:pPr>
  </w:style>
  <w:style w:type="paragraph" w:customStyle="1" w:styleId="95">
    <w:name w:val="WPSOffice手动目录 1"/>
    <w:qFormat/>
    <w:uiPriority w:val="0"/>
    <w:rPr>
      <w:rFonts w:ascii="Times New Roman" w:hAnsi="Times New Roman" w:eastAsia="宋体" w:cs="Times New Roman"/>
      <w:lang w:val="en-US" w:eastAsia="zh-CN" w:bidi="ar-SA"/>
    </w:rPr>
  </w:style>
  <w:style w:type="paragraph" w:customStyle="1" w:styleId="96">
    <w:name w:val="WPSOffice手动目录 2"/>
    <w:qFormat/>
    <w:uiPriority w:val="0"/>
    <w:pPr>
      <w:ind w:left="200" w:leftChars="200"/>
    </w:pPr>
    <w:rPr>
      <w:rFonts w:ascii="Times New Roman" w:hAnsi="Times New Roman" w:eastAsia="宋体" w:cs="Times New Roman"/>
      <w:lang w:val="en-US" w:eastAsia="zh-CN" w:bidi="ar-SA"/>
    </w:rPr>
  </w:style>
  <w:style w:type="character" w:customStyle="1" w:styleId="97">
    <w:name w:val="标题 1 字符"/>
    <w:basedOn w:val="90"/>
    <w:link w:val="3"/>
    <w:qFormat/>
    <w:uiPriority w:val="0"/>
    <w:rPr>
      <w:rFonts w:asciiTheme="minorHAnsi" w:hAnsiTheme="minorHAnsi" w:cstheme="minorBidi"/>
      <w:b/>
      <w:bCs/>
      <w:kern w:val="44"/>
      <w:sz w:val="44"/>
      <w:szCs w:val="44"/>
    </w:rPr>
  </w:style>
  <w:style w:type="paragraph" w:customStyle="1" w:styleId="98">
    <w:name w:val="TOC 标题1"/>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99">
    <w:name w:val="HTML 地址 字符"/>
    <w:basedOn w:val="90"/>
    <w:link w:val="41"/>
    <w:qFormat/>
    <w:uiPriority w:val="0"/>
    <w:rPr>
      <w:rFonts w:asciiTheme="minorHAnsi" w:hAnsiTheme="minorHAnsi" w:cstheme="minorBidi"/>
      <w:i/>
      <w:iCs/>
      <w:kern w:val="2"/>
      <w:sz w:val="21"/>
      <w:szCs w:val="21"/>
    </w:rPr>
  </w:style>
  <w:style w:type="character" w:customStyle="1" w:styleId="100">
    <w:name w:val="HTML 预设格式 字符"/>
    <w:basedOn w:val="90"/>
    <w:link w:val="80"/>
    <w:qFormat/>
    <w:uiPriority w:val="0"/>
    <w:rPr>
      <w:rFonts w:ascii="Courier New" w:hAnsi="Courier New" w:cs="Courier New"/>
      <w:kern w:val="2"/>
    </w:rPr>
  </w:style>
  <w:style w:type="paragraph" w:customStyle="1" w:styleId="101">
    <w:name w:val="TOC Heading"/>
    <w:basedOn w:val="3"/>
    <w:next w:val="1"/>
    <w:semiHidden/>
    <w:unhideWhenUsed/>
    <w:qFormat/>
    <w:uiPriority w:val="39"/>
    <w:pPr>
      <w:outlineLvl w:val="9"/>
    </w:pPr>
  </w:style>
  <w:style w:type="character" w:customStyle="1" w:styleId="102">
    <w:name w:val="标题 字符"/>
    <w:basedOn w:val="90"/>
    <w:link w:val="84"/>
    <w:qFormat/>
    <w:uiPriority w:val="0"/>
    <w:rPr>
      <w:rFonts w:asciiTheme="majorHAnsi" w:hAnsiTheme="majorHAnsi" w:eastAsiaTheme="majorEastAsia" w:cstheme="majorBidi"/>
      <w:b/>
      <w:bCs/>
      <w:kern w:val="2"/>
      <w:sz w:val="32"/>
      <w:szCs w:val="32"/>
    </w:rPr>
  </w:style>
  <w:style w:type="character" w:customStyle="1" w:styleId="103">
    <w:name w:val="标题 2 字符"/>
    <w:basedOn w:val="90"/>
    <w:link w:val="4"/>
    <w:semiHidden/>
    <w:qFormat/>
    <w:uiPriority w:val="0"/>
    <w:rPr>
      <w:rFonts w:asciiTheme="majorHAnsi" w:hAnsiTheme="majorHAnsi" w:eastAsiaTheme="majorEastAsia" w:cstheme="majorBidi"/>
      <w:b/>
      <w:bCs/>
      <w:kern w:val="2"/>
      <w:sz w:val="32"/>
      <w:szCs w:val="32"/>
    </w:rPr>
  </w:style>
  <w:style w:type="character" w:customStyle="1" w:styleId="104">
    <w:name w:val="标题 3 字符"/>
    <w:basedOn w:val="90"/>
    <w:link w:val="5"/>
    <w:semiHidden/>
    <w:qFormat/>
    <w:uiPriority w:val="0"/>
    <w:rPr>
      <w:rFonts w:asciiTheme="minorHAnsi" w:hAnsiTheme="minorHAnsi" w:cstheme="minorBidi"/>
      <w:b/>
      <w:bCs/>
      <w:kern w:val="2"/>
      <w:sz w:val="32"/>
      <w:szCs w:val="32"/>
    </w:rPr>
  </w:style>
  <w:style w:type="character" w:customStyle="1" w:styleId="105">
    <w:name w:val="标题 4 字符"/>
    <w:basedOn w:val="90"/>
    <w:link w:val="6"/>
    <w:semiHidden/>
    <w:qFormat/>
    <w:uiPriority w:val="0"/>
    <w:rPr>
      <w:rFonts w:asciiTheme="majorHAnsi" w:hAnsiTheme="majorHAnsi" w:eastAsiaTheme="majorEastAsia" w:cstheme="majorBidi"/>
      <w:b/>
      <w:bCs/>
      <w:kern w:val="2"/>
      <w:sz w:val="28"/>
      <w:szCs w:val="28"/>
    </w:rPr>
  </w:style>
  <w:style w:type="character" w:customStyle="1" w:styleId="106">
    <w:name w:val="标题 5 字符"/>
    <w:basedOn w:val="90"/>
    <w:link w:val="7"/>
    <w:semiHidden/>
    <w:qFormat/>
    <w:uiPriority w:val="0"/>
    <w:rPr>
      <w:rFonts w:asciiTheme="minorHAnsi" w:hAnsiTheme="minorHAnsi" w:cstheme="minorBidi"/>
      <w:b/>
      <w:bCs/>
      <w:kern w:val="2"/>
      <w:sz w:val="28"/>
      <w:szCs w:val="28"/>
    </w:rPr>
  </w:style>
  <w:style w:type="character" w:customStyle="1" w:styleId="107">
    <w:name w:val="标题 6 字符"/>
    <w:basedOn w:val="90"/>
    <w:link w:val="8"/>
    <w:semiHidden/>
    <w:qFormat/>
    <w:uiPriority w:val="0"/>
    <w:rPr>
      <w:rFonts w:asciiTheme="majorHAnsi" w:hAnsiTheme="majorHAnsi" w:eastAsiaTheme="majorEastAsia" w:cstheme="majorBidi"/>
      <w:b/>
      <w:bCs/>
      <w:kern w:val="2"/>
      <w:sz w:val="24"/>
      <w:szCs w:val="24"/>
    </w:rPr>
  </w:style>
  <w:style w:type="character" w:customStyle="1" w:styleId="108">
    <w:name w:val="标题 7 字符"/>
    <w:basedOn w:val="90"/>
    <w:link w:val="9"/>
    <w:semiHidden/>
    <w:qFormat/>
    <w:uiPriority w:val="0"/>
    <w:rPr>
      <w:rFonts w:asciiTheme="minorHAnsi" w:hAnsiTheme="minorHAnsi" w:cstheme="minorBidi"/>
      <w:b/>
      <w:bCs/>
      <w:kern w:val="2"/>
      <w:sz w:val="24"/>
      <w:szCs w:val="24"/>
    </w:rPr>
  </w:style>
  <w:style w:type="character" w:customStyle="1" w:styleId="109">
    <w:name w:val="标题 8 字符"/>
    <w:basedOn w:val="90"/>
    <w:link w:val="10"/>
    <w:semiHidden/>
    <w:qFormat/>
    <w:uiPriority w:val="0"/>
    <w:rPr>
      <w:rFonts w:asciiTheme="majorHAnsi" w:hAnsiTheme="majorHAnsi" w:eastAsiaTheme="majorEastAsia" w:cstheme="majorBidi"/>
      <w:kern w:val="2"/>
      <w:sz w:val="24"/>
      <w:szCs w:val="24"/>
    </w:rPr>
  </w:style>
  <w:style w:type="character" w:customStyle="1" w:styleId="110">
    <w:name w:val="标题 9 字符"/>
    <w:basedOn w:val="90"/>
    <w:link w:val="11"/>
    <w:semiHidden/>
    <w:qFormat/>
    <w:uiPriority w:val="0"/>
    <w:rPr>
      <w:rFonts w:asciiTheme="majorHAnsi" w:hAnsiTheme="majorHAnsi" w:eastAsiaTheme="majorEastAsia" w:cstheme="majorBidi"/>
      <w:kern w:val="2"/>
      <w:sz w:val="21"/>
      <w:szCs w:val="21"/>
    </w:rPr>
  </w:style>
  <w:style w:type="character" w:customStyle="1" w:styleId="111">
    <w:name w:val="称呼 字符"/>
    <w:basedOn w:val="90"/>
    <w:link w:val="30"/>
    <w:qFormat/>
    <w:uiPriority w:val="0"/>
    <w:rPr>
      <w:rFonts w:asciiTheme="minorHAnsi" w:hAnsiTheme="minorHAnsi" w:cstheme="minorBidi"/>
      <w:kern w:val="2"/>
      <w:sz w:val="21"/>
      <w:szCs w:val="21"/>
    </w:rPr>
  </w:style>
  <w:style w:type="character" w:customStyle="1" w:styleId="112">
    <w:name w:val="纯文本 字符"/>
    <w:basedOn w:val="90"/>
    <w:link w:val="45"/>
    <w:qFormat/>
    <w:uiPriority w:val="0"/>
    <w:rPr>
      <w:rFonts w:hAnsi="Courier New" w:cs="Courier New" w:asciiTheme="minorEastAsia" w:eastAsiaTheme="minorEastAsia"/>
      <w:kern w:val="2"/>
      <w:sz w:val="21"/>
      <w:szCs w:val="21"/>
    </w:rPr>
  </w:style>
  <w:style w:type="character" w:customStyle="1" w:styleId="113">
    <w:name w:val="电子邮件签名 字符"/>
    <w:basedOn w:val="90"/>
    <w:link w:val="19"/>
    <w:qFormat/>
    <w:uiPriority w:val="0"/>
    <w:rPr>
      <w:rFonts w:asciiTheme="minorHAnsi" w:hAnsiTheme="minorHAnsi" w:cstheme="minorBidi"/>
      <w:kern w:val="2"/>
      <w:sz w:val="21"/>
      <w:szCs w:val="21"/>
    </w:rPr>
  </w:style>
  <w:style w:type="character" w:customStyle="1" w:styleId="114">
    <w:name w:val="副标题 字符"/>
    <w:basedOn w:val="90"/>
    <w:link w:val="64"/>
    <w:qFormat/>
    <w:uiPriority w:val="0"/>
    <w:rPr>
      <w:rFonts w:asciiTheme="minorHAnsi" w:hAnsiTheme="minorHAnsi" w:eastAsiaTheme="minorEastAsia" w:cstheme="minorBidi"/>
      <w:b/>
      <w:bCs/>
      <w:kern w:val="28"/>
      <w:sz w:val="32"/>
      <w:szCs w:val="32"/>
    </w:rPr>
  </w:style>
  <w:style w:type="character" w:customStyle="1" w:styleId="115">
    <w:name w:val="宏文本 字符"/>
    <w:basedOn w:val="90"/>
    <w:link w:val="2"/>
    <w:qFormat/>
    <w:uiPriority w:val="0"/>
    <w:rPr>
      <w:rFonts w:ascii="Courier New" w:hAnsi="Courier New" w:cs="Courier New"/>
      <w:kern w:val="2"/>
      <w:sz w:val="24"/>
      <w:szCs w:val="24"/>
    </w:rPr>
  </w:style>
  <w:style w:type="character" w:customStyle="1" w:styleId="116">
    <w:name w:val="脚注文本 字符"/>
    <w:basedOn w:val="90"/>
    <w:link w:val="67"/>
    <w:qFormat/>
    <w:uiPriority w:val="0"/>
    <w:rPr>
      <w:rFonts w:asciiTheme="minorHAnsi" w:hAnsiTheme="minorHAnsi" w:cstheme="minorBidi"/>
      <w:kern w:val="2"/>
      <w:sz w:val="18"/>
      <w:szCs w:val="18"/>
    </w:rPr>
  </w:style>
  <w:style w:type="character" w:customStyle="1" w:styleId="117">
    <w:name w:val="结束语 字符"/>
    <w:basedOn w:val="90"/>
    <w:link w:val="32"/>
    <w:qFormat/>
    <w:uiPriority w:val="0"/>
    <w:rPr>
      <w:rFonts w:asciiTheme="minorHAnsi" w:hAnsiTheme="minorHAnsi" w:cstheme="minorBidi"/>
      <w:kern w:val="2"/>
      <w:sz w:val="21"/>
      <w:szCs w:val="21"/>
    </w:rPr>
  </w:style>
  <w:style w:type="paragraph" w:styleId="118">
    <w:name w:val="Intense Quote"/>
    <w:basedOn w:val="1"/>
    <w:next w:val="1"/>
    <w:link w:val="119"/>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19">
    <w:name w:val="明显引用 字符"/>
    <w:basedOn w:val="90"/>
    <w:link w:val="118"/>
    <w:qFormat/>
    <w:uiPriority w:val="99"/>
    <w:rPr>
      <w:rFonts w:asciiTheme="minorHAnsi" w:hAnsiTheme="minorHAnsi" w:cstheme="minorBidi"/>
      <w:i/>
      <w:iCs/>
      <w:color w:val="5B9BD5" w:themeColor="accent1"/>
      <w:kern w:val="2"/>
      <w:sz w:val="21"/>
      <w:szCs w:val="21"/>
      <w14:textFill>
        <w14:solidFill>
          <w14:schemeClr w14:val="accent1"/>
        </w14:solidFill>
      </w14:textFill>
    </w:rPr>
  </w:style>
  <w:style w:type="character" w:customStyle="1" w:styleId="120">
    <w:name w:val="批注框文本 字符"/>
    <w:basedOn w:val="90"/>
    <w:link w:val="54"/>
    <w:semiHidden/>
    <w:qFormat/>
    <w:uiPriority w:val="0"/>
    <w:rPr>
      <w:rFonts w:asciiTheme="minorHAnsi" w:hAnsiTheme="minorHAnsi" w:cstheme="minorBidi"/>
      <w:kern w:val="2"/>
      <w:sz w:val="18"/>
      <w:szCs w:val="18"/>
    </w:rPr>
  </w:style>
  <w:style w:type="character" w:customStyle="1" w:styleId="121">
    <w:name w:val="批注文字 字符"/>
    <w:basedOn w:val="90"/>
    <w:link w:val="28"/>
    <w:qFormat/>
    <w:uiPriority w:val="0"/>
    <w:rPr>
      <w:rFonts w:asciiTheme="minorHAnsi" w:hAnsiTheme="minorHAnsi" w:cstheme="minorBidi"/>
      <w:kern w:val="2"/>
      <w:sz w:val="21"/>
      <w:szCs w:val="21"/>
    </w:rPr>
  </w:style>
  <w:style w:type="character" w:customStyle="1" w:styleId="122">
    <w:name w:val="批注主题 字符"/>
    <w:basedOn w:val="121"/>
    <w:link w:val="85"/>
    <w:semiHidden/>
    <w:qFormat/>
    <w:uiPriority w:val="0"/>
    <w:rPr>
      <w:rFonts w:asciiTheme="minorHAnsi" w:hAnsiTheme="minorHAnsi" w:cstheme="minorBidi"/>
      <w:b/>
      <w:bCs/>
      <w:kern w:val="2"/>
      <w:sz w:val="21"/>
      <w:szCs w:val="21"/>
    </w:rPr>
  </w:style>
  <w:style w:type="character" w:customStyle="1" w:styleId="123">
    <w:name w:val="签名 字符"/>
    <w:basedOn w:val="90"/>
    <w:link w:val="58"/>
    <w:qFormat/>
    <w:uiPriority w:val="0"/>
    <w:rPr>
      <w:rFonts w:asciiTheme="minorHAnsi" w:hAnsiTheme="minorHAnsi" w:cstheme="minorBidi"/>
      <w:kern w:val="2"/>
      <w:sz w:val="21"/>
      <w:szCs w:val="21"/>
    </w:rPr>
  </w:style>
  <w:style w:type="character" w:customStyle="1" w:styleId="124">
    <w:name w:val="日期 字符"/>
    <w:basedOn w:val="90"/>
    <w:link w:val="50"/>
    <w:qFormat/>
    <w:uiPriority w:val="0"/>
    <w:rPr>
      <w:rFonts w:asciiTheme="minorHAnsi" w:hAnsiTheme="minorHAnsi" w:cstheme="minorBidi"/>
      <w:kern w:val="2"/>
      <w:sz w:val="21"/>
      <w:szCs w:val="21"/>
    </w:rPr>
  </w:style>
  <w:style w:type="paragraph" w:customStyle="1" w:styleId="125">
    <w:name w:val="Bibliography"/>
    <w:basedOn w:val="1"/>
    <w:next w:val="1"/>
    <w:semiHidden/>
    <w:unhideWhenUsed/>
    <w:qFormat/>
    <w:uiPriority w:val="37"/>
  </w:style>
  <w:style w:type="character" w:customStyle="1" w:styleId="126">
    <w:name w:val="尾注文本 字符"/>
    <w:basedOn w:val="90"/>
    <w:link w:val="52"/>
    <w:qFormat/>
    <w:uiPriority w:val="0"/>
    <w:rPr>
      <w:rFonts w:asciiTheme="minorHAnsi" w:hAnsiTheme="minorHAnsi" w:cstheme="minorBidi"/>
      <w:kern w:val="2"/>
      <w:sz w:val="21"/>
      <w:szCs w:val="21"/>
    </w:rPr>
  </w:style>
  <w:style w:type="character" w:customStyle="1" w:styleId="127">
    <w:name w:val="文档结构图 字符"/>
    <w:basedOn w:val="90"/>
    <w:link w:val="26"/>
    <w:qFormat/>
    <w:uiPriority w:val="0"/>
    <w:rPr>
      <w:rFonts w:ascii="Microsoft YaHei UI" w:eastAsia="Microsoft YaHei UI" w:hAnsiTheme="minorHAnsi" w:cstheme="minorBidi"/>
      <w:kern w:val="2"/>
      <w:sz w:val="18"/>
      <w:szCs w:val="18"/>
    </w:rPr>
  </w:style>
  <w:style w:type="paragraph" w:styleId="128">
    <w:name w:val="No Spacing"/>
    <w:qFormat/>
    <w:uiPriority w:val="99"/>
    <w:pPr>
      <w:widowControl w:val="0"/>
      <w:jc w:val="both"/>
    </w:pPr>
    <w:rPr>
      <w:rFonts w:eastAsia="宋体" w:asciiTheme="minorHAnsi" w:hAnsiTheme="minorHAnsi" w:cstheme="minorBidi"/>
      <w:kern w:val="2"/>
      <w:sz w:val="21"/>
      <w:szCs w:val="21"/>
      <w:lang w:val="en-US" w:eastAsia="zh-CN" w:bidi="ar-SA"/>
    </w:rPr>
  </w:style>
  <w:style w:type="character" w:customStyle="1" w:styleId="129">
    <w:name w:val="信息标题 字符"/>
    <w:basedOn w:val="90"/>
    <w:link w:val="79"/>
    <w:qFormat/>
    <w:uiPriority w:val="0"/>
    <w:rPr>
      <w:rFonts w:asciiTheme="majorHAnsi" w:hAnsiTheme="majorHAnsi" w:eastAsiaTheme="majorEastAsia" w:cstheme="majorBidi"/>
      <w:kern w:val="2"/>
      <w:sz w:val="24"/>
      <w:szCs w:val="24"/>
      <w:shd w:val="pct20" w:color="auto" w:fill="auto"/>
    </w:rPr>
  </w:style>
  <w:style w:type="paragraph" w:styleId="130">
    <w:name w:val="Quote"/>
    <w:basedOn w:val="1"/>
    <w:next w:val="1"/>
    <w:link w:val="131"/>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1">
    <w:name w:val="引用 字符"/>
    <w:basedOn w:val="90"/>
    <w:link w:val="130"/>
    <w:qFormat/>
    <w:uiPriority w:val="99"/>
    <w:rPr>
      <w:rFonts w:asciiTheme="minorHAnsi" w:hAnsiTheme="minorHAnsi" w:cstheme="minorBidi"/>
      <w:i/>
      <w:iCs/>
      <w:color w:val="404040" w:themeColor="text1" w:themeTint="BF"/>
      <w:kern w:val="2"/>
      <w:sz w:val="21"/>
      <w:szCs w:val="21"/>
      <w14:textFill>
        <w14:solidFill>
          <w14:schemeClr w14:val="tx1">
            <w14:lumMod w14:val="75000"/>
            <w14:lumOff w14:val="25000"/>
          </w14:schemeClr>
        </w14:solidFill>
      </w14:textFill>
    </w:rPr>
  </w:style>
  <w:style w:type="character" w:customStyle="1" w:styleId="132">
    <w:name w:val="正文文本 字符"/>
    <w:basedOn w:val="90"/>
    <w:link w:val="34"/>
    <w:qFormat/>
    <w:uiPriority w:val="0"/>
    <w:rPr>
      <w:rFonts w:asciiTheme="minorHAnsi" w:hAnsiTheme="minorHAnsi" w:cstheme="minorBidi"/>
      <w:kern w:val="2"/>
      <w:sz w:val="21"/>
      <w:szCs w:val="21"/>
    </w:rPr>
  </w:style>
  <w:style w:type="character" w:customStyle="1" w:styleId="133">
    <w:name w:val="正文首行缩进 字符"/>
    <w:basedOn w:val="132"/>
    <w:link w:val="86"/>
    <w:qFormat/>
    <w:uiPriority w:val="0"/>
    <w:rPr>
      <w:rFonts w:asciiTheme="minorHAnsi" w:hAnsiTheme="minorHAnsi" w:cstheme="minorBidi"/>
      <w:kern w:val="2"/>
      <w:sz w:val="21"/>
      <w:szCs w:val="21"/>
    </w:rPr>
  </w:style>
  <w:style w:type="character" w:customStyle="1" w:styleId="134">
    <w:name w:val="正文文本缩进 字符"/>
    <w:basedOn w:val="90"/>
    <w:link w:val="35"/>
    <w:qFormat/>
    <w:uiPriority w:val="0"/>
    <w:rPr>
      <w:rFonts w:asciiTheme="minorHAnsi" w:hAnsiTheme="minorHAnsi" w:cstheme="minorBidi"/>
      <w:kern w:val="2"/>
      <w:sz w:val="21"/>
      <w:szCs w:val="21"/>
    </w:rPr>
  </w:style>
  <w:style w:type="character" w:customStyle="1" w:styleId="135">
    <w:name w:val="正文首行缩进 2 字符"/>
    <w:basedOn w:val="134"/>
    <w:link w:val="87"/>
    <w:qFormat/>
    <w:uiPriority w:val="0"/>
    <w:rPr>
      <w:rFonts w:asciiTheme="minorHAnsi" w:hAnsiTheme="minorHAnsi" w:cstheme="minorBidi"/>
      <w:kern w:val="2"/>
      <w:sz w:val="21"/>
      <w:szCs w:val="21"/>
    </w:rPr>
  </w:style>
  <w:style w:type="character" w:customStyle="1" w:styleId="136">
    <w:name w:val="正文文本 2 字符"/>
    <w:basedOn w:val="90"/>
    <w:link w:val="76"/>
    <w:qFormat/>
    <w:uiPriority w:val="0"/>
    <w:rPr>
      <w:rFonts w:asciiTheme="minorHAnsi" w:hAnsiTheme="minorHAnsi" w:cstheme="minorBidi"/>
      <w:kern w:val="2"/>
      <w:sz w:val="21"/>
      <w:szCs w:val="21"/>
    </w:rPr>
  </w:style>
  <w:style w:type="character" w:customStyle="1" w:styleId="137">
    <w:name w:val="正文文本 3 字符"/>
    <w:basedOn w:val="90"/>
    <w:link w:val="31"/>
    <w:qFormat/>
    <w:uiPriority w:val="0"/>
    <w:rPr>
      <w:rFonts w:asciiTheme="minorHAnsi" w:hAnsiTheme="minorHAnsi" w:cstheme="minorBidi"/>
      <w:kern w:val="2"/>
      <w:sz w:val="16"/>
      <w:szCs w:val="16"/>
    </w:rPr>
  </w:style>
  <w:style w:type="character" w:customStyle="1" w:styleId="138">
    <w:name w:val="正文文本缩进 2 字符"/>
    <w:basedOn w:val="90"/>
    <w:link w:val="51"/>
    <w:qFormat/>
    <w:uiPriority w:val="0"/>
    <w:rPr>
      <w:rFonts w:asciiTheme="minorHAnsi" w:hAnsiTheme="minorHAnsi" w:cstheme="minorBidi"/>
      <w:kern w:val="2"/>
      <w:sz w:val="21"/>
      <w:szCs w:val="21"/>
    </w:rPr>
  </w:style>
  <w:style w:type="character" w:customStyle="1" w:styleId="139">
    <w:name w:val="正文文本缩进 3 字符"/>
    <w:basedOn w:val="90"/>
    <w:link w:val="70"/>
    <w:qFormat/>
    <w:uiPriority w:val="0"/>
    <w:rPr>
      <w:rFonts w:asciiTheme="minorHAnsi" w:hAnsiTheme="minorHAnsi" w:cstheme="minorBidi"/>
      <w:kern w:val="2"/>
      <w:sz w:val="16"/>
      <w:szCs w:val="16"/>
    </w:rPr>
  </w:style>
  <w:style w:type="character" w:customStyle="1" w:styleId="140">
    <w:name w:val="注释标题 字符"/>
    <w:basedOn w:val="90"/>
    <w:link w:val="16"/>
    <w:qFormat/>
    <w:uiPriority w:val="0"/>
    <w:rPr>
      <w:rFonts w:asciiTheme="minorHAnsi" w:hAnsiTheme="minorHAnsi" w:cstheme="minorBidi"/>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ABB62F3-7168-4816-BD3F-CA0CD344F37D}">
  <ds:schemaRefs/>
</ds:datastoreItem>
</file>

<file path=docProps/app.xml><?xml version="1.0" encoding="utf-8"?>
<Properties xmlns="http://schemas.openxmlformats.org/officeDocument/2006/extended-properties" xmlns:vt="http://schemas.openxmlformats.org/officeDocument/2006/docPropsVTypes">
  <Template>Normal</Template>
  <Pages>8</Pages>
  <Words>6891</Words>
  <Characters>7327</Characters>
  <Lines>80</Lines>
  <Paragraphs>22</Paragraphs>
  <TotalTime>0</TotalTime>
  <ScaleCrop>false</ScaleCrop>
  <LinksUpToDate>false</LinksUpToDate>
  <CharactersWithSpaces>7427</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2022-11-15T10:06:00Z</dcterms:created>
  <dc:creator>yanjiusuo</dc:creator>
  <cp:lastModifiedBy>yang.jiahong</cp:lastModifiedBy>
  <cp:lastPrinted>2023-06-08T02:23:00Z</cp:lastPrinted>
  <dcterms:modified xsi:type="dcterms:W3CDTF">2024-09-10T01:42:37Z</dcterms:modified>
  <cp:revision>158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88F59B570830480FBD960522A6F97CC7</vt:lpwstr>
  </property>
</Properties>
</file>