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0" w:name="_GoBack"/>
          <w:bookmarkEnd w:id="50"/>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_Toc27711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_Toc14554 </w:instrText>
          </w:r>
          <w:r>
            <w:rPr>
              <w:bCs/>
            </w:rPr>
            <w:fldChar w:fldCharType="separate"/>
          </w:r>
          <w:r>
            <w:rPr>
              <w:rFonts w:hint="eastAsia" w:ascii="Times New Roman" w:hAnsi="Times New Roman" w:eastAsia="楷体"/>
              <w:szCs w:val="24"/>
            </w:rPr>
            <w:t>股指：多IF空IM继续持有</w:t>
          </w:r>
          <w:r>
            <w:rPr>
              <w:bCs/>
            </w:rPr>
            <w:fldChar w:fldCharType="end"/>
          </w:r>
        </w:p>
        <w:p>
          <w:pPr>
            <w:pStyle w:val="59"/>
            <w:tabs>
              <w:tab w:val="right" w:leader="dot" w:pos="8306"/>
            </w:tabs>
          </w:pPr>
          <w:r>
            <w:rPr>
              <w:bCs/>
            </w:rPr>
            <w:fldChar w:fldCharType="begin"/>
          </w:r>
          <w:r>
            <w:rPr>
              <w:bCs/>
            </w:rPr>
            <w:instrText xml:space="preserve"> HYPERLINK \l _Toc24667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_Toc6544 </w:instrText>
          </w:r>
          <w:r>
            <w:rPr>
              <w:bCs/>
            </w:rPr>
            <w:fldChar w:fldCharType="separate"/>
          </w:r>
          <w:r>
            <w:rPr>
              <w:rFonts w:hint="eastAsia" w:ascii="Times New Roman" w:hAnsi="Times New Roman" w:eastAsia="楷体"/>
              <w:szCs w:val="24"/>
            </w:rPr>
            <w:t>贵金属：美国ISM制造业PMI略低于预期，贵金属价格回落</w:t>
          </w:r>
          <w:r>
            <w:rPr>
              <w:bCs/>
            </w:rPr>
            <w:fldChar w:fldCharType="end"/>
          </w:r>
        </w:p>
        <w:p>
          <w:pPr>
            <w:pStyle w:val="59"/>
            <w:tabs>
              <w:tab w:val="right" w:leader="dot" w:pos="8306"/>
            </w:tabs>
          </w:pPr>
          <w:r>
            <w:rPr>
              <w:bCs/>
            </w:rPr>
            <w:fldChar w:fldCharType="begin"/>
          </w:r>
          <w:r>
            <w:rPr>
              <w:bCs/>
            </w:rPr>
            <w:instrText xml:space="preserve"> HYPERLINK \l _Toc6067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_Toc13617 </w:instrText>
          </w:r>
          <w:r>
            <w:rPr>
              <w:bCs/>
            </w:rPr>
            <w:fldChar w:fldCharType="separate"/>
          </w:r>
          <w:r>
            <w:rPr>
              <w:rFonts w:hint="eastAsia" w:ascii="楷体" w:hAnsi="楷体" w:eastAsia="楷体"/>
              <w:szCs w:val="24"/>
            </w:rPr>
            <w:t>碳酸锂：库存略微去化，期价小幅下跌</w:t>
          </w:r>
          <w:r>
            <w:rPr>
              <w:bCs/>
            </w:rPr>
            <w:fldChar w:fldCharType="end"/>
          </w:r>
        </w:p>
        <w:p>
          <w:pPr>
            <w:pStyle w:val="74"/>
            <w:tabs>
              <w:tab w:val="right" w:leader="dot" w:pos="8306"/>
            </w:tabs>
          </w:pPr>
          <w:r>
            <w:rPr>
              <w:bCs/>
            </w:rPr>
            <w:fldChar w:fldCharType="begin"/>
          </w:r>
          <w:r>
            <w:rPr>
              <w:bCs/>
            </w:rPr>
            <w:instrText xml:space="preserve"> HYPERLINK \l _Toc5496 </w:instrText>
          </w:r>
          <w:r>
            <w:rPr>
              <w:bCs/>
            </w:rPr>
            <w:fldChar w:fldCharType="separate"/>
          </w:r>
          <w:r>
            <w:rPr>
              <w:rFonts w:hint="eastAsia" w:ascii="楷体" w:hAnsi="楷体" w:eastAsia="楷体"/>
              <w:szCs w:val="24"/>
            </w:rPr>
            <w:t>铝：市场悲观情绪压制铝价</w:t>
          </w:r>
          <w:r>
            <w:rPr>
              <w:bCs/>
            </w:rPr>
            <w:fldChar w:fldCharType="end"/>
          </w:r>
        </w:p>
        <w:p>
          <w:pPr>
            <w:pStyle w:val="74"/>
            <w:tabs>
              <w:tab w:val="right" w:leader="dot" w:pos="8306"/>
            </w:tabs>
          </w:pPr>
          <w:r>
            <w:rPr>
              <w:bCs/>
            </w:rPr>
            <w:fldChar w:fldCharType="begin"/>
          </w:r>
          <w:r>
            <w:rPr>
              <w:bCs/>
            </w:rPr>
            <w:instrText xml:space="preserve"> HYPERLINK \l _Toc2322 </w:instrText>
          </w:r>
          <w:r>
            <w:rPr>
              <w:bCs/>
            </w:rPr>
            <w:fldChar w:fldCharType="separate"/>
          </w:r>
          <w:r>
            <w:rPr>
              <w:rFonts w:hint="eastAsia" w:ascii="楷体" w:hAnsi="楷体" w:eastAsia="楷体"/>
              <w:szCs w:val="24"/>
            </w:rPr>
            <w:t>锌：宏观承压，锌市回调仍未结束</w:t>
          </w:r>
          <w:r>
            <w:rPr>
              <w:bCs/>
            </w:rPr>
            <w:fldChar w:fldCharType="end"/>
          </w:r>
        </w:p>
        <w:p>
          <w:pPr>
            <w:pStyle w:val="74"/>
            <w:tabs>
              <w:tab w:val="right" w:leader="dot" w:pos="8306"/>
            </w:tabs>
          </w:pPr>
          <w:r>
            <w:rPr>
              <w:bCs/>
            </w:rPr>
            <w:fldChar w:fldCharType="begin"/>
          </w:r>
          <w:r>
            <w:rPr>
              <w:bCs/>
            </w:rPr>
            <w:instrText xml:space="preserve"> HYPERLINK \l _Toc29924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：中美制造业数据保持疲弱，铜价或仍有下行压力</w:t>
          </w:r>
          <w:r>
            <w:rPr>
              <w:bCs/>
            </w:rPr>
            <w:fldChar w:fldCharType="end"/>
          </w:r>
        </w:p>
        <w:p>
          <w:pPr>
            <w:pStyle w:val="74"/>
            <w:tabs>
              <w:tab w:val="right" w:leader="dot" w:pos="8306"/>
            </w:tabs>
          </w:pPr>
          <w:r>
            <w:rPr>
              <w:bCs/>
            </w:rPr>
            <w:fldChar w:fldCharType="begin"/>
          </w:r>
          <w:r>
            <w:rPr>
              <w:bCs/>
            </w:rPr>
            <w:instrText xml:space="preserve"> HYPERLINK \l _Toc4543 </w:instrText>
          </w:r>
          <w:r>
            <w:rPr>
              <w:bCs/>
            </w:rPr>
            <w:fldChar w:fldCharType="separate"/>
          </w:r>
          <w:r>
            <w:rPr>
              <w:rFonts w:hint="eastAsia" w:ascii="楷体" w:hAnsi="楷体" w:eastAsia="楷体"/>
              <w:szCs w:val="24"/>
            </w:rPr>
            <w:t>镍：短期镍价或偏弱震荡</w:t>
          </w:r>
          <w:r>
            <w:rPr>
              <w:bCs/>
            </w:rPr>
            <w:fldChar w:fldCharType="end"/>
          </w:r>
        </w:p>
        <w:p>
          <w:pPr>
            <w:pStyle w:val="74"/>
            <w:tabs>
              <w:tab w:val="right" w:leader="dot" w:pos="8306"/>
            </w:tabs>
          </w:pPr>
          <w:r>
            <w:rPr>
              <w:bCs/>
            </w:rPr>
            <w:fldChar w:fldCharType="begin"/>
          </w:r>
          <w:r>
            <w:rPr>
              <w:bCs/>
            </w:rPr>
            <w:instrText xml:space="preserve"> HYPERLINK \l _Toc15784 </w:instrText>
          </w:r>
          <w:r>
            <w:rPr>
              <w:bCs/>
            </w:rPr>
            <w:fldChar w:fldCharType="separate"/>
          </w:r>
          <w:r>
            <w:rPr>
              <w:rFonts w:hint="eastAsia" w:ascii="楷体" w:hAnsi="楷体" w:eastAsia="楷体"/>
              <w:szCs w:val="24"/>
            </w:rPr>
            <w:t>不锈钢：上下驱动较弱，关注下游补库情况</w:t>
          </w:r>
          <w:r>
            <w:rPr>
              <w:bCs/>
            </w:rPr>
            <w:fldChar w:fldCharType="end"/>
          </w:r>
        </w:p>
        <w:p>
          <w:pPr>
            <w:pStyle w:val="74"/>
            <w:tabs>
              <w:tab w:val="right" w:leader="dot" w:pos="8306"/>
            </w:tabs>
          </w:pPr>
          <w:r>
            <w:rPr>
              <w:bCs/>
            </w:rPr>
            <w:fldChar w:fldCharType="begin"/>
          </w:r>
          <w:r>
            <w:rPr>
              <w:bCs/>
            </w:rPr>
            <w:instrText xml:space="preserve"> HYPERLINK \l _Toc2097 </w:instrText>
          </w:r>
          <w:r>
            <w:rPr>
              <w:bCs/>
            </w:rPr>
            <w:fldChar w:fldCharType="separate"/>
          </w:r>
          <w:r>
            <w:rPr>
              <w:rFonts w:hint="eastAsia" w:ascii="楷体" w:hAnsi="楷体" w:eastAsia="楷体"/>
              <w:szCs w:val="24"/>
            </w:rPr>
            <w:t>工业硅：旺季需求预期减弱，反弹压力仍存</w:t>
          </w:r>
          <w:r>
            <w:rPr>
              <w:bCs/>
            </w:rPr>
            <w:fldChar w:fldCharType="end"/>
          </w:r>
        </w:p>
        <w:p>
          <w:pPr>
            <w:pStyle w:val="74"/>
            <w:tabs>
              <w:tab w:val="right" w:leader="dot" w:pos="8306"/>
            </w:tabs>
          </w:pPr>
          <w:r>
            <w:rPr>
              <w:bCs/>
            </w:rPr>
            <w:fldChar w:fldCharType="begin"/>
          </w:r>
          <w:r>
            <w:rPr>
              <w:bCs/>
            </w:rPr>
            <w:instrText xml:space="preserve"> HYPERLINK \l _Toc31931 </w:instrText>
          </w:r>
          <w:r>
            <w:rPr>
              <w:bCs/>
            </w:rPr>
            <w:fldChar w:fldCharType="separate"/>
          </w:r>
          <w:r>
            <w:rPr>
              <w:rFonts w:hint="eastAsia" w:ascii="楷体" w:hAnsi="楷体" w:eastAsia="楷体"/>
              <w:szCs w:val="24"/>
            </w:rPr>
            <w:t>螺纹钢：旺季需求预期减弱，盘面或仍将承压运行</w:t>
          </w:r>
          <w:r>
            <w:rPr>
              <w:bCs/>
            </w:rPr>
            <w:fldChar w:fldCharType="end"/>
          </w:r>
        </w:p>
        <w:p>
          <w:pPr>
            <w:pStyle w:val="59"/>
            <w:tabs>
              <w:tab w:val="right" w:leader="dot" w:pos="8306"/>
            </w:tabs>
          </w:pPr>
          <w:r>
            <w:rPr>
              <w:bCs/>
            </w:rPr>
            <w:fldChar w:fldCharType="begin"/>
          </w:r>
          <w:r>
            <w:rPr>
              <w:bCs/>
            </w:rPr>
            <w:instrText xml:space="preserve"> HYPERLINK \l _Toc9690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_Toc19645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开学季出行需求预期下降 天胶价格延续回落</w:t>
          </w:r>
          <w:r>
            <w:rPr>
              <w:bCs/>
            </w:rPr>
            <w:fldChar w:fldCharType="end"/>
          </w:r>
        </w:p>
        <w:p>
          <w:pPr>
            <w:pStyle w:val="74"/>
            <w:tabs>
              <w:tab w:val="right" w:leader="dot" w:pos="8306"/>
            </w:tabs>
          </w:pPr>
          <w:r>
            <w:rPr>
              <w:bCs/>
            </w:rPr>
            <w:fldChar w:fldCharType="begin"/>
          </w:r>
          <w:r>
            <w:rPr>
              <w:bCs/>
            </w:rPr>
            <w:instrText xml:space="preserve"> HYPERLINK \l _Toc3589 </w:instrText>
          </w:r>
          <w:r>
            <w:rPr>
              <w:bCs/>
            </w:rPr>
            <w:fldChar w:fldCharType="separate"/>
          </w:r>
          <w:r>
            <w:rPr>
              <w:rFonts w:hint="eastAsia" w:ascii="Times New Roman" w:hAnsi="Times New Roman" w:eastAsia="楷体"/>
              <w:szCs w:val="24"/>
            </w:rPr>
            <w:t>聚烯烃：需求未见明显起色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_Toc4678 </w:instrText>
          </w:r>
          <w:r>
            <w:rPr>
              <w:bCs/>
            </w:rPr>
            <w:fldChar w:fldCharType="separate"/>
          </w:r>
          <w:r>
            <w:rPr>
              <w:rFonts w:hint="eastAsia" w:ascii="Times New Roman" w:hAnsi="Times New Roman" w:eastAsia="楷体"/>
              <w:szCs w:val="24"/>
            </w:rPr>
            <w:t>原油：原油期货重挫，供需前景引关注</w:t>
          </w:r>
          <w:r>
            <w:rPr>
              <w:bCs/>
            </w:rPr>
            <w:fldChar w:fldCharType="end"/>
          </w:r>
        </w:p>
        <w:p>
          <w:pPr>
            <w:pStyle w:val="74"/>
            <w:tabs>
              <w:tab w:val="right" w:leader="dot" w:pos="8306"/>
            </w:tabs>
          </w:pPr>
          <w:r>
            <w:rPr>
              <w:bCs/>
            </w:rPr>
            <w:fldChar w:fldCharType="begin"/>
          </w:r>
          <w:r>
            <w:rPr>
              <w:bCs/>
            </w:rPr>
            <w:instrText xml:space="preserve"> HYPERLINK \l _Toc12132 </w:instrText>
          </w:r>
          <w:r>
            <w:rPr>
              <w:bCs/>
            </w:rPr>
            <w:fldChar w:fldCharType="separate"/>
          </w:r>
          <w:r>
            <w:rPr>
              <w:rFonts w:hint="eastAsia" w:ascii="Times New Roman" w:hAnsi="Times New Roman" w:eastAsia="楷体"/>
              <w:szCs w:val="24"/>
            </w:rPr>
            <w:t>燃料油及低硫燃料油：原油重挫，高低硫燃料油齐跌，低硫存补跌风险</w:t>
          </w:r>
          <w:r>
            <w:rPr>
              <w:bCs/>
            </w:rPr>
            <w:fldChar w:fldCharType="end"/>
          </w:r>
        </w:p>
        <w:p>
          <w:pPr>
            <w:pStyle w:val="74"/>
            <w:tabs>
              <w:tab w:val="right" w:leader="dot" w:pos="8306"/>
            </w:tabs>
          </w:pPr>
          <w:r>
            <w:rPr>
              <w:bCs/>
            </w:rPr>
            <w:fldChar w:fldCharType="begin"/>
          </w:r>
          <w:r>
            <w:rPr>
              <w:bCs/>
            </w:rPr>
            <w:instrText xml:space="preserve"> HYPERLINK \l _Toc5082 </w:instrText>
          </w:r>
          <w:r>
            <w:rPr>
              <w:bCs/>
            </w:rPr>
            <w:fldChar w:fldCharType="separate"/>
          </w:r>
          <w:r>
            <w:rPr>
              <w:rFonts w:hint="eastAsia" w:ascii="Times New Roman" w:hAnsi="Times New Roman" w:eastAsia="楷体"/>
              <w:szCs w:val="24"/>
            </w:rPr>
            <w:t>沥青：供需格局变化，后市展望趋稳</w:t>
          </w:r>
          <w:r>
            <w:rPr>
              <w:bCs/>
            </w:rPr>
            <w:fldChar w:fldCharType="end"/>
          </w:r>
        </w:p>
        <w:p>
          <w:pPr>
            <w:pStyle w:val="74"/>
            <w:tabs>
              <w:tab w:val="right" w:leader="dot" w:pos="8306"/>
            </w:tabs>
          </w:pPr>
          <w:r>
            <w:rPr>
              <w:bCs/>
            </w:rPr>
            <w:fldChar w:fldCharType="begin"/>
          </w:r>
          <w:r>
            <w:rPr>
              <w:bCs/>
            </w:rPr>
            <w:instrText xml:space="preserve"> HYPERLINK \l _Toc18102 </w:instrText>
          </w:r>
          <w:r>
            <w:rPr>
              <w:bCs/>
            </w:rPr>
            <w:fldChar w:fldCharType="separate"/>
          </w:r>
          <w:r>
            <w:rPr>
              <w:rFonts w:hint="eastAsia" w:ascii="Times New Roman" w:hAnsi="Times New Roman" w:eastAsia="楷体"/>
              <w:szCs w:val="24"/>
            </w:rPr>
            <w:t>PTA：后市仍存累库压力 维持震荡偏弱思路看待</w:t>
          </w:r>
          <w:r>
            <w:rPr>
              <w:bCs/>
            </w:rPr>
            <w:fldChar w:fldCharType="end"/>
          </w:r>
        </w:p>
        <w:p>
          <w:pPr>
            <w:pStyle w:val="74"/>
            <w:tabs>
              <w:tab w:val="right" w:leader="dot" w:pos="8306"/>
            </w:tabs>
          </w:pPr>
          <w:r>
            <w:rPr>
              <w:bCs/>
            </w:rPr>
            <w:fldChar w:fldCharType="begin"/>
          </w:r>
          <w:r>
            <w:rPr>
              <w:bCs/>
            </w:rPr>
            <w:instrText xml:space="preserve"> HYPERLINK \l _Toc4701 </w:instrText>
          </w:r>
          <w:r>
            <w:rPr>
              <w:bCs/>
            </w:rPr>
            <w:fldChar w:fldCharType="separate"/>
          </w:r>
          <w:r>
            <w:rPr>
              <w:rFonts w:hint="eastAsia" w:ascii="Times New Roman" w:hAnsi="Times New Roman" w:eastAsia="楷体"/>
              <w:szCs w:val="24"/>
            </w:rPr>
            <w:t>乙二醇：下游聚酯需求存改善预期 乙二醇或维持震荡走势</w:t>
          </w:r>
          <w:r>
            <w:rPr>
              <w:bCs/>
            </w:rPr>
            <w:fldChar w:fldCharType="end"/>
          </w:r>
        </w:p>
        <w:p>
          <w:pPr>
            <w:pStyle w:val="59"/>
            <w:tabs>
              <w:tab w:val="right" w:leader="dot" w:pos="8306"/>
            </w:tabs>
          </w:pPr>
          <w:r>
            <w:rPr>
              <w:bCs/>
            </w:rPr>
            <w:fldChar w:fldCharType="begin"/>
          </w:r>
          <w:r>
            <w:rPr>
              <w:bCs/>
            </w:rPr>
            <w:instrText xml:space="preserve"> HYPERLINK \l _Toc13288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_Toc28213 </w:instrText>
          </w:r>
          <w:r>
            <w:rPr>
              <w:bCs/>
            </w:rPr>
            <w:fldChar w:fldCharType="separate"/>
          </w:r>
          <w:r>
            <w:rPr>
              <w:rFonts w:hint="eastAsia" w:ascii="楷体" w:hAnsi="楷体" w:eastAsia="楷体"/>
              <w:bCs/>
            </w:rPr>
            <w:t>玉米与淀粉：</w:t>
          </w:r>
          <w:r>
            <w:rPr>
              <w:rFonts w:hint="eastAsia" w:ascii="楷体" w:hAnsi="楷体" w:eastAsia="楷体"/>
            </w:rPr>
            <w:t>期价夜盘有止跌迹象</w:t>
          </w:r>
          <w:r>
            <w:rPr>
              <w:bCs/>
            </w:rPr>
            <w:fldChar w:fldCharType="end"/>
          </w:r>
        </w:p>
        <w:p>
          <w:pPr>
            <w:pStyle w:val="74"/>
            <w:tabs>
              <w:tab w:val="right" w:leader="dot" w:pos="8306"/>
            </w:tabs>
          </w:pPr>
          <w:r>
            <w:rPr>
              <w:bCs/>
            </w:rPr>
            <w:fldChar w:fldCharType="begin"/>
          </w:r>
          <w:r>
            <w:rPr>
              <w:bCs/>
            </w:rPr>
            <w:instrText xml:space="preserve"> HYPERLINK \l _Toc7473 </w:instrText>
          </w:r>
          <w:r>
            <w:rPr>
              <w:bCs/>
            </w:rPr>
            <w:fldChar w:fldCharType="separate"/>
          </w:r>
          <w:r>
            <w:rPr>
              <w:rFonts w:hint="eastAsia" w:ascii="楷体" w:hAnsi="楷体" w:eastAsia="楷体"/>
              <w:bCs/>
            </w:rPr>
            <w:t>畜禽养殖：生猪期价震荡偏强运行</w:t>
          </w:r>
          <w:r>
            <w:rPr>
              <w:bCs/>
            </w:rPr>
            <w:fldChar w:fldCharType="end"/>
          </w:r>
        </w:p>
        <w:p>
          <w:pPr>
            <w:pStyle w:val="74"/>
            <w:tabs>
              <w:tab w:val="right" w:leader="dot" w:pos="8306"/>
            </w:tabs>
          </w:pPr>
          <w:r>
            <w:rPr>
              <w:bCs/>
            </w:rPr>
            <w:fldChar w:fldCharType="begin"/>
          </w:r>
          <w:r>
            <w:rPr>
              <w:bCs/>
            </w:rPr>
            <w:instrText xml:space="preserve"> HYPERLINK \l _Toc1669 </w:instrText>
          </w:r>
          <w:r>
            <w:rPr>
              <w:bCs/>
            </w:rPr>
            <w:fldChar w:fldCharType="separate"/>
          </w:r>
          <w:r>
            <w:rPr>
              <w:rFonts w:hint="eastAsia" w:ascii="楷体" w:hAnsi="楷体" w:eastAsia="楷体"/>
              <w:bCs/>
            </w:rPr>
            <w:t>白糖：震荡整理</w:t>
          </w:r>
          <w:r>
            <w:rPr>
              <w:bCs/>
            </w:rPr>
            <w:fldChar w:fldCharType="end"/>
          </w:r>
        </w:p>
        <w:p>
          <w:pPr>
            <w:pStyle w:val="74"/>
            <w:tabs>
              <w:tab w:val="right" w:leader="dot" w:pos="8306"/>
            </w:tabs>
          </w:pPr>
          <w:r>
            <w:rPr>
              <w:bCs/>
            </w:rPr>
            <w:fldChar w:fldCharType="begin"/>
          </w:r>
          <w:r>
            <w:rPr>
              <w:bCs/>
            </w:rPr>
            <w:instrText xml:space="preserve"> HYPERLINK \l _Toc30693 </w:instrText>
          </w:r>
          <w:r>
            <w:rPr>
              <w:bCs/>
            </w:rPr>
            <w:fldChar w:fldCharType="separate"/>
          </w:r>
          <w:r>
            <w:rPr>
              <w:rFonts w:hint="eastAsia" w:ascii="楷体" w:hAnsi="楷体" w:eastAsia="楷体"/>
              <w:bCs/>
            </w:rPr>
            <w:t>棉花：预计郑棉震荡偏强</w:t>
          </w:r>
          <w:r>
            <w:rPr>
              <w:bCs/>
            </w:rPr>
            <w:fldChar w:fldCharType="end"/>
          </w:r>
        </w:p>
        <w:p>
          <w:pPr>
            <w:pStyle w:val="74"/>
            <w:tabs>
              <w:tab w:val="right" w:leader="dot" w:pos="8306"/>
            </w:tabs>
          </w:pPr>
          <w:r>
            <w:rPr>
              <w:bCs/>
            </w:rPr>
            <w:fldChar w:fldCharType="begin"/>
          </w:r>
          <w:r>
            <w:rPr>
              <w:bCs/>
            </w:rPr>
            <w:instrText xml:space="preserve"> HYPERLINK \l _Toc11036 </w:instrText>
          </w:r>
          <w:r>
            <w:rPr>
              <w:bCs/>
            </w:rPr>
            <w:fldChar w:fldCharType="separate"/>
          </w:r>
          <w:r>
            <w:rPr>
              <w:rFonts w:hint="eastAsia" w:ascii="楷体" w:hAnsi="楷体" w:eastAsia="楷体"/>
              <w:bCs/>
            </w:rPr>
            <w:t>蛋白粕：中方对加反倾销，对菜系有较强支撑</w:t>
          </w:r>
          <w:r>
            <w:rPr>
              <w:bCs/>
            </w:rPr>
            <w:fldChar w:fldCharType="end"/>
          </w:r>
        </w:p>
        <w:p>
          <w:pPr>
            <w:pStyle w:val="74"/>
            <w:tabs>
              <w:tab w:val="right" w:leader="dot" w:pos="8306"/>
            </w:tabs>
          </w:pPr>
          <w:r>
            <w:rPr>
              <w:bCs/>
            </w:rPr>
            <w:fldChar w:fldCharType="begin"/>
          </w:r>
          <w:r>
            <w:rPr>
              <w:bCs/>
            </w:rPr>
            <w:instrText xml:space="preserve"> HYPERLINK \l _Toc3359 </w:instrText>
          </w:r>
          <w:r>
            <w:rPr>
              <w:bCs/>
            </w:rPr>
            <w:fldChar w:fldCharType="separate"/>
          </w:r>
          <w:r>
            <w:rPr>
              <w:rFonts w:hint="eastAsia" w:ascii="楷体" w:hAnsi="楷体" w:eastAsia="楷体"/>
              <w:bCs/>
            </w:rPr>
            <w:t>油脂类：昨日夜盘豆油上涨0.23%，菜油上涨</w:t>
          </w:r>
          <w:r>
            <w:rPr>
              <w:bCs/>
            </w:rPr>
            <w:fldChar w:fldCharType="end"/>
          </w:r>
        </w:p>
        <w:p>
          <w:pPr>
            <w:pStyle w:val="59"/>
            <w:tabs>
              <w:tab w:val="right" w:leader="dot" w:pos="8306"/>
            </w:tabs>
          </w:pPr>
          <w:r>
            <w:rPr>
              <w:bCs/>
            </w:rPr>
            <w:fldChar w:fldCharType="begin"/>
          </w:r>
          <w:r>
            <w:rPr>
              <w:bCs/>
            </w:rPr>
            <w:instrText xml:space="preserve"> HYPERLINK \l _Toc32532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_Toc106 </w:instrText>
          </w:r>
          <w:r>
            <w:rPr>
              <w:bCs/>
            </w:rPr>
            <w:fldChar w:fldCharType="separate"/>
          </w:r>
          <w:r>
            <w:rPr>
              <w:rFonts w:hint="eastAsia" w:ascii="Times New Roman" w:hAnsi="Times New Roman" w:eastAsia="楷体"/>
              <w:szCs w:val="24"/>
            </w:rPr>
            <w:t>集运指数（欧线）：船司陆续调整运力，集运指数偏弱震荡</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27711"/>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965"/>
      <w:bookmarkStart w:id="6" w:name="_Toc16295"/>
      <w:bookmarkStart w:id="7" w:name="_Toc14554"/>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多IF空IM继续持有</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周末8月PMI公布，不及市场预期。昨日开盘后A股单边下挫，截至收盘，沪指跌逾1%退守2800点，创本轮调整新低，市场成交额7084.7亿元。对于8月末反弹行情是否能持续的首要是关注是成交量方面会否出现持续放量，一旦量能再度出现明显萎缩，市场仍有继续磨底风险，尤其是9月中下旬市场即将迎来中秋、国庆双节，可能会影响资金的交投意愿，对A股流动性仍是一大考验。再者则是两条交易线索：其一是，疲弱的经济数据触发逆周期政策的发力，使得市场风格回归均衡，使得小盘成长出现超跌反弹，但政策的调整大概率是一个渐进式的过程；其二是，美联储预防式降息交易，大概率幅度不会特别高，但为全球风险资产提供了反弹的有利环境。后续需观察国内宽货币的跟进力度，国内宽财政执行改善及效果的乐观预期发酵，如果想象空间受限，则市场对于中期基本面压力的担忧会继续给市场施加调整压力。综合来说，前期提出的多IF空IM组合策略仍可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24667"/>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6544"/>
      <w:r>
        <w:rPr>
          <w:rFonts w:hint="eastAsia" w:ascii="Times New Roman" w:hAnsi="Times New Roman" w:eastAsia="楷体"/>
          <w:b/>
          <w:color w:val="000000" w:themeColor="text1"/>
          <w:sz w:val="24"/>
          <w:szCs w:val="24"/>
          <w14:textFill>
            <w14:solidFill>
              <w14:schemeClr w14:val="tx1"/>
            </w14:solidFill>
          </w14:textFill>
        </w:rPr>
        <w:t>贵金属：美国ISM制造业PMI略低于预期，贵金属价格回落</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美元指数涨0.1%至101.75，沪金跌0.22%至570.54元/克，沪银跌1.52%至7152元/千克。美国8月ISM制造业PMI为47.2，略低于预期的47.5，较前值46.8小幅反弹，仍处于收缩区间。美国8月标普全球制造业PMI终值47.9，预期48.1，初值48.0，7月终值49.6。贵金属价格区间震荡，关注周四的美国ISM非制造业PMI，以及周内多项美国就业数据公布情况，市场或基于最新经济数据表现调整对于美国经济基本面以及美联储降息节奏的预期。留意回调带来多头逢低布局机会，后续降息落地或仍支撑贵金属价格表现。</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6067"/>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13617"/>
      <w:bookmarkStart w:id="16" w:name="_Toc5371"/>
      <w:bookmarkStart w:id="17" w:name="_Toc27831"/>
      <w:r>
        <w:rPr>
          <w:rFonts w:hint="eastAsia" w:ascii="楷体" w:hAnsi="楷体" w:eastAsia="楷体"/>
          <w:b/>
          <w:color w:val="000000" w:themeColor="text1"/>
          <w:sz w:val="24"/>
          <w:szCs w:val="24"/>
          <w14:textFill>
            <w14:solidFill>
              <w14:schemeClr w14:val="tx1"/>
            </w14:solidFill>
          </w14:textFill>
        </w:rPr>
        <w:t>碳酸锂：库存略微去化，期价小幅下跌</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期价小幅低开后窄幅震荡，11合约跌2.16%至74900元/吨。天齐锂业半年报显示，今年上半年实现营业收入64.19亿元，同比下降74.14%；净利润-52.06亿，同比下降180.68%；经营大幅亏损，主要受到锂产品市场波动、锂精矿定价与锂化工产品销售定价机制存在时间周期错配、联营公司SQM确认所得税费用，三个方面的影响；其业绩说明会提及，文菲尔德锂矿定价周期缩短，锂矿价格回落并逐步平稳，锂精矿定价机制的阶段性错配逐步减弱。自3月下旬进入累库阶段以来，最新当周碳酸锂周度库存首度出现回落。下游正极材料及电芯厂商排产向好，旺季需求存在回暖预期，短线期价或于7万元-8万元/吨的区间内震荡运行。本周个别锂企再度启动少量碳酸锂产品的拍卖，后续关注下游传统旺季备库需求释放情况。</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5496"/>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市场悲观情绪压制铝价</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美国ISM公布的PMI 数据落于收缩区间，市场对全球经济衰退担忧再起，宏观情绪悲观引领盘面下跌。上游矿端供应持续趋向紧张，电解铝厂氧化铝库存低位，氧化铝开产积极，现货端报价坚挺，持续强化电解铝成本支撑，近期四川高温影响叠加降水不足，地区工业用电计划缩减，目前暂未影响当地电解铝生产节奏，国内电解铝冶炼运行产能高位，铸锭库存持续累积，铝棒库存去化较顺畅，下游加工企业开工率除铝杆线外表现较弱，等待金九银十验证旺季消费。成本虽有支撑，供应高位需求暂未明显有效改善情况下，在近期市场情绪偏弱压力下，铝价探底向万九附近支撑试探。</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2322"/>
      <w:r>
        <w:rPr>
          <w:rFonts w:hint="eastAsia" w:ascii="楷体" w:hAnsi="楷体" w:eastAsia="楷体"/>
          <w:b/>
          <w:color w:val="000000" w:themeColor="text1"/>
          <w:sz w:val="24"/>
          <w:szCs w:val="24"/>
          <w14:textFill>
            <w14:solidFill>
              <w14:schemeClr w14:val="tx1"/>
            </w14:solidFill>
          </w14:textFill>
        </w:rPr>
        <w:t>锌：宏观承压，锌市回调仍未结束</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夜公布美国ISM制造业PMI数据为47.2，低于市场预期，再度引发市场对全球经济衰退的担忧，宏观承压带领有色价格下行。锌精矿利润丰厚，近期进口矿盈利窗口打开，锌矿进口补充抬升但低于往年同期水平，国内锌精矿产量持续抬升，中游精炼锌冶炼利润负反馈导致产量萎缩，精炼锌进口窗口间接性开启补充相对有限，14家锌企联合调整冶炼生产产能预计影响产需，下游需求来看，镀锌、锌合金、氧化锌开工疲软，其中锌合金开工相对较好，主因新能源汽车及电子电器以旧换新消费刺激，临近金九银十旺季消费仍有乐观预期支撑，目前锌市维持原料紧张-中游被动减产-下游疲弱状态，后续矿端-冶炼端的利润分配情况或有扭转，等待中游冶炼利润逐步修复。9-10月旺季消费预期需求发生改善。基本面变化较小，宏观引领盘面走势，锌价回调之路仍未结束，观望价格筑底情况。</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29924"/>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：中美制造业数据保持疲弱，铜价或仍有下行压力</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(1)宏观：美国8月ISM制造业指数47.2，预期47.5，7月前值46.8，7月时ISM制造业PMI创下去年11月以来的最低值。</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(2)库存：9月3日，SHFE仓单库存127978吨，减5024吨；LME仓单库存317800吨，减2850吨。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(3)精废价差：9月3日，Mysteel精废价差1064，收窄163。目前价差在合理价差1436之下。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中美制造业数据均呈现疲弱态势，整体市场避险情绪加重，关注本周五晚间美国8月非农数据。基本面，国内库存保持去化，现货转小幅升水，旺季实际需求仍有待观察，短期铜价受宏观主导，或仍有下行压力，关注7万关口支撑。</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4543"/>
      <w:r>
        <w:rPr>
          <w:rFonts w:hint="eastAsia" w:ascii="楷体" w:hAnsi="楷体" w:eastAsia="楷体"/>
          <w:b/>
          <w:color w:val="000000" w:themeColor="text1"/>
          <w:sz w:val="24"/>
          <w:szCs w:val="24"/>
          <w14:textFill>
            <w14:solidFill>
              <w14:schemeClr w14:val="tx1"/>
            </w14:solidFill>
          </w14:textFill>
        </w:rPr>
        <w:t>镍：短期镍价或偏弱震荡</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8月ISM制造业PMI指数录得47.2，标普制造业PMI指数终值录得47.9，体现美国经济压力，市场情绪偏空，关注周五晚非农就业数据。镍矿方面，印尼镍矿供应维持紧张局面，镍矿成交价格居高不下。中间品方面，受天气因素干扰，印尼中间品项目边际减产，中间品价格坚挺。硫酸镍方面，原料成本支撑硫酸镍价格，但受制于需求改善力度有限，预计硫酸镍价格持稳为主。综合而言，宏观氛围偏空，弱势基本面及明显累库也带来压制，但考虑到当前价格已向下破高冰镍一体化成本线，印尼镍矿供应紧张情况下镍价难以继续深跌，或偏弱震荡运行，关注12.5万关口支撑位。</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15784"/>
      <w:r>
        <w:rPr>
          <w:rFonts w:hint="eastAsia" w:ascii="楷体" w:hAnsi="楷体" w:eastAsia="楷体"/>
          <w:b/>
          <w:color w:val="000000" w:themeColor="text1"/>
          <w:sz w:val="24"/>
          <w:szCs w:val="24"/>
          <w14:textFill>
            <w14:solidFill>
              <w14:schemeClr w14:val="tx1"/>
            </w14:solidFill>
          </w14:textFill>
        </w:rPr>
        <w:t>不锈钢：上下驱动较弱，关注下游补库情况</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美国8月制造业PMI数据仍然偏弱，宏观氛围利空。镍矿方面，印尼镍矿供应紧张为不锈钢产业链形成底部支撑。镍铁方面，镍矿成本坚挺，加上钢厂步入提前备库期，镍铁价格暂稳于1010元/镍（到厂含税）附近。供应方面，Mysteel预估9月不锈钢粗钢排产为337.57万吨，月环比增加0.73%，同比增加5.89%。需求方面，临近金九银十传统旺季，而下游补库幅度有限，整体仍以刚需采购为主，目前市场对旺季预期尚报以期待。库存方面，上周社会库存为108.65万吨，环比减0.21%。综合而言，宏观受到经济走弱压力，短期需求难有明显起色，不锈钢期价上方空间有限，与此同时，印尼矿端偏紧及镍铁价格企稳对期价形成支撑，加之低估值与低利润，期价向下驱动也不足，维持震荡思路，后市主要关注宏观变化、下游补库情况、供应是否减产、印尼镍矿供应状态。</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2097"/>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旺季需求预期减弱，反弹压力仍存</w:t>
      </w:r>
      <w:bookmarkEnd w:id="25"/>
    </w:p>
    <w:p>
      <w:pPr>
        <w:ind w:left="630" w:leftChars="300"/>
        <w:rPr>
          <w:rFonts w:ascii="楷体" w:hAnsi="楷体" w:eastAsia="楷体"/>
          <w:sz w:val="24"/>
          <w:szCs w:val="24"/>
        </w:rPr>
      </w:pPr>
      <w:r>
        <w:rPr>
          <w:rFonts w:hint="eastAsia" w:ascii="楷体" w:hAnsi="楷体" w:eastAsia="楷体"/>
          <w:sz w:val="24"/>
          <w:szCs w:val="24"/>
        </w:rPr>
        <w:t>9月3日，Si2411主力合约有所反弹，收盘价9735元/吨，较上一收盘价涨跌幅＋1.25%。从宏观面来看，8月美国ISM制造业PMI为47.2，略低于预期的47.5，较前值46.8小幅反弹，仍处于收缩区间，中美制造业数据均呈现疲弱态势，整体市场避险情绪加重，后续重点关注本周五晚间美国8月非农数据。从基本面来看，行业供需宽松格局暂未扭转，库存压力也依旧较大，市场情绪降温后，盘面反弹压力仍存，但基本面边际有所改善，短期下跌空间或相对有限，后续重点关注旺季补库持续性。策略上，由于宏观情绪波动较大，暂时观望为主。</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6" w:name="_Toc31931"/>
      <w:r>
        <w:rPr>
          <w:rFonts w:hint="eastAsia" w:ascii="楷体" w:hAnsi="楷体" w:eastAsia="楷体"/>
          <w:b/>
          <w:color w:val="000000" w:themeColor="text1"/>
          <w:sz w:val="24"/>
          <w:szCs w:val="24"/>
          <w14:textFill>
            <w14:solidFill>
              <w14:schemeClr w14:val="tx1"/>
            </w14:solidFill>
          </w14:textFill>
        </w:rPr>
        <w:t>螺纹钢：旺季需求预期减弱，盘面或仍将承压运行</w:t>
      </w:r>
      <w:bookmarkEnd w:id="26"/>
    </w:p>
    <w:p>
      <w:pPr>
        <w:ind w:left="630" w:leftChars="300"/>
        <w:rPr>
          <w:rFonts w:ascii="楷体" w:hAnsi="楷体" w:eastAsia="楷体"/>
          <w:sz w:val="24"/>
          <w:szCs w:val="24"/>
        </w:rPr>
      </w:pPr>
      <w:r>
        <w:rPr>
          <w:rFonts w:hint="eastAsia" w:ascii="楷体" w:hAnsi="楷体" w:eastAsia="楷体"/>
          <w:sz w:val="24"/>
          <w:szCs w:val="24"/>
        </w:rPr>
        <w:t>此前，由于美联储9月降息预期较强，对于国内商品市场情绪有所提振，叠加“金九银十”传统旺季来临，建材市场交投季节性有所改善，表需低位延续回升，使得盘面有所反弹。但国家统计局发布8月制造业PMI数据不及预期，引发市场对于传统旺季需求改善或有限的担忧，宏观情绪有所降温，在缺乏强有力的政策刺激情况下，市场对于旺季需求预期减弱，预计盘面仍将承压运行。</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9690"/>
      <w:r>
        <w:rPr>
          <w:rFonts w:hint="eastAsia" w:ascii="Times New Roman" w:hAnsi="Times New Roman" w:eastAsia="楷体"/>
          <w:b/>
          <w:color w:val="823C0B"/>
          <w:sz w:val="30"/>
          <w:szCs w:val="30"/>
        </w:rPr>
        <w:t>[化工]</w:t>
      </w:r>
      <w:bookmarkEnd w:id="27"/>
      <w:bookmarkEnd w:id="28"/>
    </w:p>
    <w:p>
      <w:pPr>
        <w:ind w:firstLine="482" w:firstLineChars="200"/>
        <w:outlineLvl w:val="1"/>
        <w:rPr>
          <w:rFonts w:ascii="楷体" w:hAnsi="楷体" w:eastAsia="楷体"/>
          <w:b/>
          <w:sz w:val="24"/>
          <w:szCs w:val="24"/>
        </w:rPr>
      </w:pPr>
      <w:bookmarkStart w:id="29" w:name="_Toc19645"/>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开学季出行需求预期下降 天胶价格延续回落</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近期天胶延续回落，主因日胶大跌已经开学季家庭长途出游需求下降等因素所致。目前看，产区季节性上量预期仍存，但泰国地区多地发生洪水，同时海运问题导致物流环节运输受限，进口胶到港量或不及预期，港口去库状态维持，现货溢价短时难以缓解。需求端来看，下游轮胎企业开工率高位维持，半钢胎在海外出口需求旺盛下，开工率高位持稳，对原料补库积极性提高，提振天胶消费。全钢胎消费稳中转好。终端汽车方面，9月车企优惠政策延续。根据工信部最新公布的新车上市名录里面可以看到，多家车企的新车型与换代车型将于近期发售，亦将刺激未来汽车销售增长预期。整体看，近期海外原料价格涨跌互现，但对胶价底部支撑未出现显著弱化。中长线来看，全年天然橡胶依旧处于供小于求的供需格局，建议待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0" w:name="_Toc3589"/>
      <w:r>
        <w:rPr>
          <w:rFonts w:hint="eastAsia" w:ascii="Times New Roman" w:hAnsi="Times New Roman" w:eastAsia="楷体"/>
          <w:b/>
          <w:color w:val="000000" w:themeColor="text1"/>
          <w:sz w:val="24"/>
          <w:szCs w:val="24"/>
          <w14:textFill>
            <w14:solidFill>
              <w14:schemeClr w14:val="tx1"/>
            </w14:solidFill>
          </w14:textFill>
        </w:rPr>
        <w:t>聚烯烃：需求未见明显起色 聚烯烃跟随原油价格走势为主</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PE方面，成本端油制生产利润较今年一季度改善明显，成本支撑减弱，供应端开工回落，短期临检偏多，后市开工预计小幅震荡。需求端，下游整体需求有回暖预期，预计后市供需均有所回升。PP方面，成本支撑减弱。供应端开工率低位回升，下周久泰能源等5套装置计划重启，检修暂无，供应环比增加。需求端，下游需求暂无明显好转，刚需采购为主。整体看，聚烯烃成本支撑减弱，需求暂无明显好转，且库存中性偏高，预计跟随成本端与工业品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1" w:name="_Toc4678"/>
      <w:r>
        <w:rPr>
          <w:rFonts w:hint="eastAsia" w:ascii="Times New Roman" w:hAnsi="Times New Roman" w:eastAsia="楷体"/>
          <w:b/>
          <w:color w:val="000000" w:themeColor="text1"/>
          <w:sz w:val="24"/>
          <w:szCs w:val="24"/>
          <w14:textFill>
            <w14:solidFill>
              <w14:schemeClr w14:val="tx1"/>
            </w14:solidFill>
          </w14:textFill>
        </w:rPr>
        <w:t>原油：原油期货重挫，供需前景引关注</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WTI原油主力合约下跌5.16%，收报70.22美元/桶；布伦特原油主力合约结算价下跌4.78%，报73.67美元/桶；中国原油期货SC主力合约夜盘下跌3.82%，报526.5元/桶。</w:t>
      </w:r>
    </w:p>
    <w:p>
      <w:pPr>
        <w:ind w:left="630" w:leftChars="300"/>
        <w:rPr>
          <w:rFonts w:hint="eastAsia" w:ascii="楷体" w:hAnsi="楷体" w:eastAsia="楷体"/>
          <w:sz w:val="24"/>
          <w:szCs w:val="24"/>
        </w:rPr>
      </w:pPr>
      <w:r>
        <w:rPr>
          <w:rFonts w:hint="eastAsia" w:ascii="楷体" w:hAnsi="楷体" w:eastAsia="楷体"/>
          <w:sz w:val="24"/>
          <w:szCs w:val="24"/>
        </w:rPr>
        <w:t>周二，利比亚央行行长卡比尔透露，国内政治派别正接近和解，预示每日超50万桶的石油产量有望重返国际市场。此前，利比亚日产油量约100万桶，后因停产令骤减至45万桶。此动向使全球石油供应格局再受瞩目，尤其是在主要消费国经济忧虑持续的背景下，地缘政治紧张与轻微供应中断仅是偶有插曲。同时，市场正静待欧佩克+逐步恢复生产，其10月增产18万桶/日的计划虽已定，但6月曾表明可能视市场情况调整。</w:t>
      </w:r>
    </w:p>
    <w:p>
      <w:pPr>
        <w:ind w:left="630" w:leftChars="300"/>
        <w:rPr>
          <w:rFonts w:hint="eastAsia" w:ascii="楷体" w:hAnsi="楷体" w:eastAsia="楷体"/>
          <w:sz w:val="24"/>
          <w:szCs w:val="24"/>
        </w:rPr>
      </w:pPr>
      <w:r>
        <w:rPr>
          <w:rFonts w:hint="eastAsia" w:ascii="楷体" w:hAnsi="楷体" w:eastAsia="楷体"/>
          <w:sz w:val="24"/>
          <w:szCs w:val="24"/>
        </w:rPr>
        <w:t>当前，市场焦点重回原油供需基本面，利比亚复产与欧佩克+增产动态对油价短期波动影响显著。整体来看，原油价格已跌至九个月新低，年线转负，中期下行趋势确立。尽管短期内超跌可能引发小幅反弹，但不足以逆转中期跌势。</w:t>
      </w:r>
    </w:p>
    <w:p>
      <w:pPr>
        <w:ind w:left="630" w:leftChars="300"/>
        <w:rPr>
          <w:rFonts w:hint="eastAsia" w:ascii="楷体" w:hAnsi="楷体" w:eastAsia="楷体"/>
          <w:sz w:val="24"/>
          <w:szCs w:val="24"/>
        </w:rPr>
      </w:pPr>
      <w:r>
        <w:rPr>
          <w:rFonts w:hint="eastAsia" w:ascii="楷体" w:hAnsi="楷体" w:eastAsia="楷体"/>
          <w:sz w:val="24"/>
          <w:szCs w:val="24"/>
        </w:rPr>
        <w:t>本周关注非农数据的影响。WTI原油主力合约方面，67.71美元/桶为2023年12月形成底部的低点，应有较强支撑；布伦特原油主力合约方面，72.30美元/桶为2023年12月形成底部的低点，应能提供较强支撑；国内原油期货主力合约SC2410价格关注2023年12月低点519.7元/吨附近的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2" w:name="_Toc12132"/>
      <w:r>
        <w:rPr>
          <w:rFonts w:hint="eastAsia" w:ascii="Times New Roman" w:hAnsi="Times New Roman" w:eastAsia="楷体"/>
          <w:b/>
          <w:color w:val="000000" w:themeColor="text1"/>
          <w:sz w:val="24"/>
          <w:szCs w:val="24"/>
          <w14:textFill>
            <w14:solidFill>
              <w14:schemeClr w14:val="tx1"/>
            </w14:solidFill>
          </w14:textFill>
        </w:rPr>
        <w:t>燃料油及低硫燃料油：原油重挫，高低硫燃料油齐跌，低硫存补跌风险</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原油大跌，高硫燃料油与低硫燃料油跟随重挫。燃料油主力合约夜盘大跌3.31%，报2804元/吨；低硫燃料油主力合约微跌0.15%，报4011元/吨；价差为1207元/吨，进一步拉大。低硫燃料油短期内，存在补跌的可能。</w:t>
      </w:r>
    </w:p>
    <w:p>
      <w:pPr>
        <w:ind w:left="630" w:leftChars="300"/>
        <w:rPr>
          <w:rFonts w:hint="eastAsia" w:ascii="楷体" w:hAnsi="楷体" w:eastAsia="楷体"/>
          <w:sz w:val="24"/>
          <w:szCs w:val="24"/>
        </w:rPr>
      </w:pPr>
      <w:r>
        <w:rPr>
          <w:rFonts w:hint="eastAsia" w:ascii="楷体" w:hAnsi="楷体" w:eastAsia="楷体"/>
          <w:sz w:val="24"/>
          <w:szCs w:val="24"/>
        </w:rPr>
        <w:t>原油大跌，汽柴出货不佳，燃料油消息面多空交织，业者操作情绪谨慎，市场买气不振，炼厂出货承压。燃料油市场需求不一，各产品报价走势各异。具体来看：原油收盘上涨对油浆市场提振不足，山东油浆报价稳中存跌。炼厂积极出货，下游需求表现一般，市场整体交投冷清。汽柴行情稳中下跌，受此影响渣油市场走势不一，中高硫渣油稳中偏弱，低硫渣油招标积极上涨。批发市场来看，低硫渣油价格大涨，其他原料价格稳定，成本端上行支撑，调油商报价小幅试探推涨。供船市场来看，航运市场运行僵持，终端维持按需采购，供油商报价小幅跟涨，实际成交有限。</w:t>
      </w:r>
    </w:p>
    <w:p>
      <w:pPr>
        <w:ind w:left="630" w:leftChars="300"/>
        <w:rPr>
          <w:rFonts w:hint="eastAsia" w:ascii="楷体" w:hAnsi="楷体" w:eastAsia="楷体"/>
          <w:sz w:val="24"/>
          <w:szCs w:val="24"/>
        </w:rPr>
      </w:pPr>
      <w:r>
        <w:rPr>
          <w:rFonts w:hint="eastAsia" w:ascii="楷体" w:hAnsi="楷体" w:eastAsia="楷体"/>
          <w:sz w:val="24"/>
          <w:szCs w:val="24"/>
        </w:rPr>
        <w:t>亚洲低硫燃料油市场结构小幅下降，此前，8月船燃现金价差环比上涨近65%。新加坡地区合规的现货供应量有限，未来几周低硫燃料油市场或仍将受到支撑。新加坡0.5%含硫船用燃料油和380CST高硫燃料油的时间价差略有收窄，同时低硫船燃的交易量显著下降，反映出市场供应收紧和需求的变化。具体而言，低硫燃料油在8月份的交易量出现了较大幅度的下滑，特别是FOB新加坡含硫0.5%船燃的交易量降至数月来的最低水平。高硫燃料油的价格升水虽有增长但市场结构价差同样有所减少。</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5082"/>
      <w:r>
        <w:rPr>
          <w:rFonts w:hint="eastAsia" w:ascii="Times New Roman" w:hAnsi="Times New Roman" w:eastAsia="楷体"/>
          <w:b/>
          <w:color w:val="000000" w:themeColor="text1"/>
          <w:sz w:val="24"/>
          <w:szCs w:val="24"/>
          <w14:textFill>
            <w14:solidFill>
              <w14:schemeClr w14:val="tx1"/>
            </w14:solidFill>
          </w14:textFill>
        </w:rPr>
        <w:t>沥青：供需格局变化，后市展望趋稳</w:t>
      </w:r>
      <w:bookmarkEnd w:id="33"/>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受原油大跌拖累，沥青期货夜盘微跌。沥青期货主力合约夜盘BU2410下跌0.87%，收3298元/吨。</w:t>
      </w:r>
    </w:p>
    <w:p>
      <w:pPr>
        <w:ind w:left="630" w:leftChars="300"/>
        <w:rPr>
          <w:rFonts w:hint="eastAsia" w:ascii="楷体" w:hAnsi="楷体" w:eastAsia="楷体"/>
          <w:sz w:val="24"/>
          <w:szCs w:val="24"/>
        </w:rPr>
      </w:pPr>
      <w:r>
        <w:rPr>
          <w:rFonts w:hint="eastAsia" w:ascii="楷体" w:hAnsi="楷体" w:eastAsia="楷体"/>
          <w:sz w:val="24"/>
          <w:szCs w:val="24"/>
        </w:rPr>
        <w:t>国内沥青均价为3662元/吨，较上一工作日价格下调4元/吨，今日部分地区报价小幅下行，整体沥青现货市场稳中偏弱运行。</w:t>
      </w:r>
    </w:p>
    <w:p>
      <w:pPr>
        <w:ind w:left="630" w:leftChars="300"/>
        <w:rPr>
          <w:rFonts w:hint="eastAsia" w:ascii="楷体" w:hAnsi="楷体" w:eastAsia="楷体"/>
          <w:sz w:val="24"/>
          <w:szCs w:val="24"/>
        </w:rPr>
      </w:pPr>
      <w:r>
        <w:rPr>
          <w:rFonts w:hint="eastAsia" w:ascii="楷体" w:hAnsi="楷体" w:eastAsia="楷体"/>
          <w:sz w:val="24"/>
          <w:szCs w:val="24"/>
        </w:rPr>
        <w:t>沥青现货南北分化，北方地区资源供应充裕，部分低价合同有所冲击，市场多性价比较高资源成交为主；南方地区资源压力有限，部分库区资源出货有所支撑，刚需相对平稳。预计现货将维持大稳为主。</w:t>
      </w:r>
    </w:p>
    <w:p>
      <w:pPr>
        <w:ind w:left="630" w:leftChars="300"/>
        <w:rPr>
          <w:rFonts w:hint="eastAsia" w:ascii="楷体" w:hAnsi="楷体" w:eastAsia="楷体"/>
          <w:sz w:val="24"/>
          <w:szCs w:val="24"/>
        </w:rPr>
      </w:pPr>
      <w:r>
        <w:rPr>
          <w:rFonts w:hint="eastAsia" w:ascii="楷体" w:hAnsi="楷体" w:eastAsia="楷体"/>
          <w:sz w:val="24"/>
          <w:szCs w:val="24"/>
        </w:rPr>
        <w:t>供应端来看，9月份炼厂整体开工积极性偏低，其中三桶油沥青计划产量80.3万吨，环比减少15.4万吨，地炼排产121.6万吨，环比增加9.9万吨，供应整体下降；需求方面，高温及降水天气已过，国内各地秋高气爽，下游施工调价俱佳，但资金面仍是制约下游需求重要因素；且库存水平仍处相对高位水平，预计国内沥青市场存推涨预期，但推涨动力仍显不足。短期内，关注原油期货价格重挫，对沥青期货压制。</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4" w:name="_Toc18102"/>
      <w:r>
        <w:rPr>
          <w:rFonts w:hint="eastAsia" w:ascii="Times New Roman" w:hAnsi="Times New Roman" w:eastAsia="楷体"/>
          <w:b/>
          <w:color w:val="000000" w:themeColor="text1"/>
          <w:sz w:val="24"/>
          <w:szCs w:val="24"/>
          <w14:textFill>
            <w14:solidFill>
              <w14:schemeClr w14:val="tx1"/>
            </w14:solidFill>
          </w14:textFill>
        </w:rPr>
        <w:t>PTA：后市仍存累库压力 维持震荡偏弱思路看待</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供应方面四川能投100万吨PTA装置上周末重启，目前已经出产品。今日在聚酯产销回落，PTA基差变动不大，加工费重心抬升。9月宁波台化120万吨PTA装置计划月初检修，恒力大连一套220万吨装置计划9月检修，PTA开工率预计环比变动不大。需求方面聚酯整体库存依旧偏高，继中旬织造终端低价集中补货后，上周织造订单有所转弱，PTA出口较前期缺乏增量，聚酯产品出口呈现回落，月底聚酯瓶片检修装置的重启和新产能投产预期或带动需求回升，关注聚酯新装置的投产进度。PTA后市或依然存在累库压力。仅供参考。</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5" w:name="_Toc4701"/>
      <w:r>
        <w:rPr>
          <w:rFonts w:hint="eastAsia" w:ascii="Times New Roman" w:hAnsi="Times New Roman" w:eastAsia="楷体"/>
          <w:b/>
          <w:color w:val="000000" w:themeColor="text1"/>
          <w:sz w:val="24"/>
          <w:szCs w:val="24"/>
          <w14:textFill>
            <w14:solidFill>
              <w14:schemeClr w14:val="tx1"/>
            </w14:solidFill>
          </w14:textFill>
        </w:rPr>
        <w:t>乙二醇：下游聚酯需求存改善预期 乙二醇或维持震荡走势</w:t>
      </w:r>
      <w:bookmarkEnd w:id="35"/>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据CCF最新数据显示，今日华东主港地区MEG港口库存约73.6万吨附近，环比上升7.8 万吨。上周初受盛虹炼化降负消息影响，乙二醇基差走强，国产供应量回升速度较慢。需求方面，今日聚酯产销放量，继中旬织造终端低价集中补货后，上周织造订单有所转弱，聚酯产品出口呈现回落，旺季下聚酯开工仍有提升空间但可能相对有限。月底聚酯瓶片检修装置的重启和新产能投产预期或带动需求回升，关注聚酯新装置的投产进度。本周乙二醇计划到港量下降，供需格局维持紧平衡。价格预计震荡走势。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13288"/>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hint="eastAsia" w:ascii="楷体" w:hAnsi="楷体" w:eastAsia="楷体"/>
          <w:b/>
        </w:rPr>
      </w:pPr>
      <w:bookmarkStart w:id="37" w:name="_Toc2821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期价夜盘有止跌迹象</w:t>
      </w:r>
      <w:bookmarkEnd w:id="37"/>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近期期价陷入震荡调整，主要源于两个方面，其一是玉米注册仓单压力，其二是期价贴水收窄之后，市场对新作上市压力的担忧依然存在，这使得现货缺乏上涨驱动。在这种情况下，需要等待以下三个方面，其一是华北小麦能否转强，其二是中下游是否需要在新作上市之前被动补库，其三是市场对新作产量前景的担忧能否强化，继而引发对新作供需格局的乐观预期，带动中下游主动补库存。综上所述，我们维持谨慎看多观点，建议谨慎投资者观望，激进投资者可以考虑持有前期多单。</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玉米价差除近月外多有走扩，主要源于影响价差的三个方面因素均偏向利多，其一是行业供需趋于改善即行业库存继续下滑，其二是副产品端因外盘美豆带动国内蛋白粕继续弱势，其三是原料成本端华北-东北玉米价差可能走扩。再加上淀粉现货基差高企，而盘面生产利润为负，淀粉-玉米价差有望继续走扩。综上所述，我们维持谨慎看多观点，建议谨慎投资者观望或持有做扩淀粉-玉米价差，激进投资者可以考虑持有前期多单。</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7473"/>
      <w:r>
        <w:rPr>
          <w:rFonts w:hint="eastAsia" w:ascii="楷体" w:hAnsi="楷体" w:eastAsia="楷体"/>
          <w:b/>
          <w:bCs/>
          <w:color w:val="000000" w:themeColor="text1"/>
          <w14:textFill>
            <w14:solidFill>
              <w14:schemeClr w14:val="tx1"/>
            </w14:solidFill>
          </w14:textFill>
        </w:rPr>
        <w:t>畜禽养殖：生猪期价震荡偏强运行</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货盘面表现来看，整体再度转为近强远弱，这主要源于市场预期现货阶段性回落临近尾声，与6月中下旬的现货表现类似，进而预期接下来有望再度出现上涨行情。在理解盘面的基础上看，远月关注供需改善幅度及其饲料成本预期，考虑到远月期价贴近养殖成本，目前证伪难度较大；近月更多关注节奏，特别是生猪出栏恢复的进度与生猪出栏体重的变化，这里面需要跟过去两年做个比较，2022年更多源于市场压栏和新冠疫情，2023年更多源于非瘟疫情和资金链因素。与过去两年特别是2022年相比，农业农村部公布的2季度末生猪存栏量更低，而7月规模以上屠宰企业生猪屠宰量更高，加上涌益咨询公布的7-8月日度屠宰量亦高于2022年，因此，可以合理推算三季度供应压力显著低于2022年，这可以通过新生仔猪数量加以印证，因今年新生仔猪数量底部出现在3-4月，对应生猪出栏量大致在9-10月。综上所述，观点转为谨慎看多，建议谨慎投资者观望，激进投资者可以考虑轻仓入场做多2411合约。</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分析市场可以看出，当前市场纠结之处在于，一方面市场对远期供需宽松预期使得市场担心后期现货下跌，而这已经体现在远月期价深度贴水上，另一方面当前仍处于季节性旺季，且基差处于历史高位，这对期价特别是近月带来一定的支撑。考虑到旺季合约已经进入交割月，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综上所述，观点转为中性，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1669"/>
      <w:r>
        <w:rPr>
          <w:rFonts w:hint="eastAsia" w:ascii="楷体" w:hAnsi="楷体" w:eastAsia="楷体"/>
          <w:b/>
          <w:bCs/>
          <w:color w:val="000000" w:themeColor="text1"/>
          <w14:textFill>
            <w14:solidFill>
              <w14:schemeClr w14:val="tx1"/>
            </w14:solidFill>
          </w14:textFill>
        </w:rPr>
        <w:t>白糖：震荡整理</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纽约原糖主力合约和伦敦白砂糖主力合约分别下跌0.21%和上涨1.12%。巴西甘蔗行业协会(Unica)数据显示，8月上半月巴西中南部地区压榨甘蔗4383.1万吨，同比下降8.57%;产糖310.9万吨，同比下降10.24%;乙醇产量同比下降2.19%，至22.95升。糖厂使用49.27%的甘蔗比例产糖，上榨季同期为50.82%。国内隔日夜盘，白糖主力01合约下跌0.32%。尽管有印度解禁和巴西干旱减产带来的重大利好，但国际糖价大幅上涨后利好消化，其他国家的丰产预期重新施压，国际糖价暴涨暴跌。国内小幅反弹，技术形态略有好转，但市场情绪偏空，短期内或开始震荡整理。</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30693"/>
      <w:r>
        <w:rPr>
          <w:rFonts w:hint="eastAsia" w:ascii="楷体" w:hAnsi="楷体" w:eastAsia="楷体"/>
          <w:b/>
          <w:bCs/>
          <w:color w:val="000000" w:themeColor="text1"/>
          <w14:textFill>
            <w14:solidFill>
              <w14:schemeClr w14:val="tx1"/>
            </w14:solidFill>
          </w14:textFill>
        </w:rPr>
        <w:t>棉花：预计郑棉震荡偏强</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大西洋风暴带来天气隐忧，隔日外盘ICE美棉主力上涨0.79%。美国农业部（ USDA ）在每周作物生长报告中公布称，截至2024年9月1日当周，美国棉花优良率为44%，前一周为40%，上年同期为31%。截至当周，美国棉花结铃率为95%，上一周为89%，上年同期为93%，五年均值为94%。截至当周，美国棉花盛铃率为37%，上一周为25%，上年同期为30%，五年均值为31%。国内夜盘，郑棉主力2501主力合约上涨1.05%。随着金九临近，纱线订单好转，纺织企业开机率增加。但纱线价格依然低迷，成品库存再度开始累积。８月ｐｍｉ继续下行，经济衰退预期仍存，商品普遍承压。郑棉在长期下跌后价格跌至近年低位，但仍受宏观和丰产预期制约，波动加剧。</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11036"/>
      <w:r>
        <w:rPr>
          <w:rFonts w:hint="eastAsia" w:ascii="楷体" w:hAnsi="楷体" w:eastAsia="楷体"/>
          <w:b/>
          <w:bCs/>
          <w:color w:val="000000" w:themeColor="text1"/>
          <w14:textFill>
            <w14:solidFill>
              <w14:schemeClr w14:val="tx1"/>
            </w14:solidFill>
          </w14:textFill>
        </w:rPr>
        <w:t>蛋白粕：中方对加反倾销，对菜系有较强支撑</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中方发布对加实施反倾销调查，重大利多因素使菜系价格飙升。我国进口菜籽中，加菜籽占比91.97%，中国对加菜籽依赖度较高。反倾销信息公布，市场对菜籽供应有紧缩预期，短期价格有强有力支撑，可尝试多单。昨日美豆上涨1.25%，收盘价1012.5美分/磅。美豆优良率下降且超预期（65%），而出口检验量位于预估区间高位，美豆供需格局改善助力期价走高。国内昨日夜盘豆二下跌0.44%，豆粕下跌0.69%。由于依旧维持震荡观点，而昨日菜系大幅拉涨，夜盘价格出现回落调整。</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3359"/>
      <w:r>
        <w:rPr>
          <w:rFonts w:hint="eastAsia" w:ascii="楷体" w:hAnsi="楷体" w:eastAsia="楷体"/>
          <w:b/>
          <w:bCs/>
          <w:color w:val="000000" w:themeColor="text1"/>
          <w14:textFill>
            <w14:solidFill>
              <w14:schemeClr w14:val="tx1"/>
            </w14:solidFill>
          </w14:textFill>
        </w:rPr>
        <w:t>油脂类：昨日夜盘豆油上涨0.23%，菜油上涨</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2.25%，棕榈油下跌0.63%。尽管菜油增速放缓，但短期依旧比豆油、棕油表现更为强势。反倾销调查消息公布，市场对菜籽进口量存在缩量预期，直接影响菜粕、菜油产量，支撑价格上涨。国内随着中秋节和消费旺季临近，油脂库存逐渐减少，豆油库存连续四周下滑，边际需求好转。印度因库存高和精炼利润为负，减少棕油采购量，马棕油8月出口减少12%左右，期价下跌。总体而言，国内目前逐渐进入消费旺季，边际需求好转，价格有所支撑，存在上涨空间。</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3" w:name="_Toc32532"/>
      <w:r>
        <w:rPr>
          <w:rFonts w:hint="eastAsia" w:ascii="Times New Roman" w:hAnsi="Times New Roman" w:eastAsia="楷体"/>
          <w:b/>
          <w:color w:val="823C0B"/>
          <w:sz w:val="30"/>
          <w:szCs w:val="30"/>
        </w:rPr>
        <w:t>[指数]</w:t>
      </w:r>
      <w:bookmarkEnd w:id="43"/>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4" w:name="_Toc106"/>
      <w:r>
        <w:rPr>
          <w:rFonts w:hint="eastAsia" w:ascii="Times New Roman" w:hAnsi="Times New Roman" w:eastAsia="楷体"/>
          <w:b/>
          <w:color w:val="000000" w:themeColor="text1"/>
          <w:sz w:val="24"/>
          <w:szCs w:val="24"/>
          <w14:textFill>
            <w14:solidFill>
              <w14:schemeClr w14:val="tx1"/>
            </w14:solidFill>
          </w14:textFill>
        </w:rPr>
        <w:t>集运指数（欧线）：船司陆续调整运力，集运指数偏弱震荡</w:t>
      </w:r>
      <w:bookmarkEnd w:id="44"/>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跌1.06%至2134.9，远月合约微涨。9月2日，SCFIS欧线指数为5110.07点，与上期相比跌6.86%。此前现货运价的弱势表现带动期价下行，近期船公司陆续调整运力以应对需求放缓的预期。德鲁里停航数据显示，从9.2至10.6的第36-40周，主要贸易航线的取消率为10%；跨太平洋东行航线取消的航次最多，占比51%，亚洲至北欧和地中海航线占28%，跨大西洋西行航线占21%。10月假期部分航线停航，届时关注运力回落能否对盘面形成一定支撑。期价或偏弱震荡，留意短期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5" w:name="_Toc71212556"/>
      <w:bookmarkStart w:id="46" w:name="_Toc12779"/>
      <w:bookmarkStart w:id="47" w:name="_Toc98426751"/>
      <w:bookmarkStart w:id="48" w:name="_Toc19667"/>
      <w:bookmarkStart w:id="49" w:name="_Toc72481108"/>
      <w:r>
        <w:rPr>
          <w:rFonts w:ascii="Times New Roman" w:hAnsi="Times New Roman" w:eastAsia="楷体"/>
          <w:b/>
          <w:color w:val="411D05"/>
          <w:sz w:val="30"/>
          <w:szCs w:val="30"/>
        </w:rPr>
        <w:t>免责声明</w:t>
      </w:r>
      <w:bookmarkEnd w:id="45"/>
      <w:bookmarkEnd w:id="46"/>
      <w:bookmarkEnd w:id="47"/>
      <w:bookmarkEnd w:id="48"/>
      <w:bookmarkEnd w:id="49"/>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2024年9月4日星期三</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345DBE"/>
    <w:rsid w:val="40164730"/>
    <w:rsid w:val="40F15753"/>
    <w:rsid w:val="41F950F8"/>
    <w:rsid w:val="428A4A5E"/>
    <w:rsid w:val="42EB3BA1"/>
    <w:rsid w:val="42F51780"/>
    <w:rsid w:val="43F11831"/>
    <w:rsid w:val="43F63E0D"/>
    <w:rsid w:val="44092E2E"/>
    <w:rsid w:val="441077D2"/>
    <w:rsid w:val="44396064"/>
    <w:rsid w:val="458C38B3"/>
    <w:rsid w:val="459609D9"/>
    <w:rsid w:val="45A37566"/>
    <w:rsid w:val="45CF0A85"/>
    <w:rsid w:val="46194A11"/>
    <w:rsid w:val="461E2AF1"/>
    <w:rsid w:val="47752ACA"/>
    <w:rsid w:val="47A71483"/>
    <w:rsid w:val="47C813F2"/>
    <w:rsid w:val="48352178"/>
    <w:rsid w:val="489B63EF"/>
    <w:rsid w:val="48D7317F"/>
    <w:rsid w:val="4953255E"/>
    <w:rsid w:val="49BF13F0"/>
    <w:rsid w:val="49D75468"/>
    <w:rsid w:val="49E169F0"/>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A7219A6"/>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2024-09-04T02:55:05Z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