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49" w:name="_GoBack"/>
          <w:bookmarkEnd w:id="49"/>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_Toc15881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_Toc16096 </w:instrText>
          </w:r>
          <w:r>
            <w:rPr>
              <w:bCs/>
            </w:rPr>
            <w:fldChar w:fldCharType="separate"/>
          </w:r>
          <w:r>
            <w:rPr>
              <w:rFonts w:hint="eastAsia" w:ascii="Times New Roman" w:hAnsi="Times New Roman" w:eastAsia="楷体"/>
              <w:szCs w:val="24"/>
            </w:rPr>
            <w:t>股指：维持弱市震荡观点</w:t>
          </w:r>
          <w:r>
            <w:rPr>
              <w:bCs/>
            </w:rPr>
            <w:fldChar w:fldCharType="end"/>
          </w:r>
        </w:p>
        <w:p>
          <w:pPr>
            <w:pStyle w:val="59"/>
            <w:tabs>
              <w:tab w:val="right" w:leader="dot" w:pos="8306"/>
            </w:tabs>
          </w:pPr>
          <w:r>
            <w:rPr>
              <w:bCs/>
            </w:rPr>
            <w:fldChar w:fldCharType="begin"/>
          </w:r>
          <w:r>
            <w:rPr>
              <w:bCs/>
            </w:rPr>
            <w:instrText xml:space="preserve"> HYPERLINK \l _Toc26361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_Toc6916 </w:instrText>
          </w:r>
          <w:r>
            <w:rPr>
              <w:bCs/>
            </w:rPr>
            <w:fldChar w:fldCharType="separate"/>
          </w:r>
          <w:r>
            <w:rPr>
              <w:rFonts w:hint="eastAsia" w:ascii="Times New Roman" w:hAnsi="Times New Roman" w:eastAsia="楷体"/>
              <w:szCs w:val="24"/>
            </w:rPr>
            <w:t>贵金属：美元指数小幅回升，贵金属价格上涨</w:t>
          </w:r>
          <w:r>
            <w:rPr>
              <w:bCs/>
            </w:rPr>
            <w:fldChar w:fldCharType="end"/>
          </w:r>
        </w:p>
        <w:p>
          <w:pPr>
            <w:pStyle w:val="59"/>
            <w:tabs>
              <w:tab w:val="right" w:leader="dot" w:pos="8306"/>
            </w:tabs>
          </w:pPr>
          <w:r>
            <w:rPr>
              <w:bCs/>
            </w:rPr>
            <w:fldChar w:fldCharType="begin"/>
          </w:r>
          <w:r>
            <w:rPr>
              <w:bCs/>
            </w:rPr>
            <w:instrText xml:space="preserve"> HYPERLINK \l _Toc13642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_Toc20722 </w:instrText>
          </w:r>
          <w:r>
            <w:rPr>
              <w:bCs/>
            </w:rPr>
            <w:fldChar w:fldCharType="separate"/>
          </w:r>
          <w:r>
            <w:rPr>
              <w:rFonts w:hint="eastAsia" w:ascii="楷体" w:hAnsi="楷体" w:eastAsia="楷体"/>
              <w:szCs w:val="24"/>
            </w:rPr>
            <w:t>碳酸锂：Pilbara锂精矿年产量同比增长，期价小幅上涨</w:t>
          </w:r>
          <w:r>
            <w:rPr>
              <w:bCs/>
            </w:rPr>
            <w:fldChar w:fldCharType="end"/>
          </w:r>
        </w:p>
        <w:p>
          <w:pPr>
            <w:pStyle w:val="74"/>
            <w:tabs>
              <w:tab w:val="right" w:leader="dot" w:pos="8306"/>
            </w:tabs>
          </w:pPr>
          <w:r>
            <w:rPr>
              <w:bCs/>
            </w:rPr>
            <w:fldChar w:fldCharType="begin"/>
          </w:r>
          <w:r>
            <w:rPr>
              <w:bCs/>
            </w:rPr>
            <w:instrText xml:space="preserve"> HYPERLINK \l _Toc21889 </w:instrText>
          </w:r>
          <w:r>
            <w:rPr>
              <w:bCs/>
            </w:rPr>
            <w:fldChar w:fldCharType="separate"/>
          </w:r>
          <w:r>
            <w:rPr>
              <w:rFonts w:hint="eastAsia" w:ascii="楷体" w:hAnsi="楷体" w:eastAsia="楷体"/>
              <w:szCs w:val="24"/>
            </w:rPr>
            <w:t>铝：观望2w压力位</w:t>
          </w:r>
          <w:r>
            <w:rPr>
              <w:bCs/>
            </w:rPr>
            <w:fldChar w:fldCharType="end"/>
          </w:r>
        </w:p>
        <w:p>
          <w:pPr>
            <w:pStyle w:val="74"/>
            <w:tabs>
              <w:tab w:val="right" w:leader="dot" w:pos="8306"/>
            </w:tabs>
          </w:pPr>
          <w:r>
            <w:rPr>
              <w:bCs/>
            </w:rPr>
            <w:fldChar w:fldCharType="begin"/>
          </w:r>
          <w:r>
            <w:rPr>
              <w:bCs/>
            </w:rPr>
            <w:instrText xml:space="preserve"> HYPERLINK \l _Toc15475 </w:instrText>
          </w:r>
          <w:r>
            <w:rPr>
              <w:bCs/>
            </w:rPr>
            <w:fldChar w:fldCharType="separate"/>
          </w:r>
          <w:r>
            <w:rPr>
              <w:rFonts w:hint="eastAsia" w:ascii="楷体" w:hAnsi="楷体" w:eastAsia="楷体"/>
              <w:szCs w:val="24"/>
            </w:rPr>
            <w:t>锌：短期阶段性回调</w:t>
          </w:r>
          <w:r>
            <w:rPr>
              <w:bCs/>
            </w:rPr>
            <w:fldChar w:fldCharType="end"/>
          </w:r>
        </w:p>
        <w:p>
          <w:pPr>
            <w:pStyle w:val="74"/>
            <w:tabs>
              <w:tab w:val="right" w:leader="dot" w:pos="8306"/>
            </w:tabs>
          </w:pPr>
          <w:r>
            <w:rPr>
              <w:bCs/>
            </w:rPr>
            <w:fldChar w:fldCharType="begin"/>
          </w:r>
          <w:r>
            <w:rPr>
              <w:bCs/>
            </w:rPr>
            <w:instrText xml:space="preserve"> HYPERLINK \l _Toc30762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：短期保持偏多，高度谨慎</w:t>
          </w:r>
          <w:r>
            <w:rPr>
              <w:bCs/>
            </w:rPr>
            <w:fldChar w:fldCharType="end"/>
          </w:r>
        </w:p>
        <w:p>
          <w:pPr>
            <w:pStyle w:val="74"/>
            <w:tabs>
              <w:tab w:val="right" w:leader="dot" w:pos="8306"/>
            </w:tabs>
          </w:pPr>
          <w:r>
            <w:rPr>
              <w:bCs/>
            </w:rPr>
            <w:fldChar w:fldCharType="begin"/>
          </w:r>
          <w:r>
            <w:rPr>
              <w:bCs/>
            </w:rPr>
            <w:instrText xml:space="preserve"> HYPERLINK \l _Toc18444 </w:instrText>
          </w:r>
          <w:r>
            <w:rPr>
              <w:bCs/>
            </w:rPr>
            <w:fldChar w:fldCharType="separate"/>
          </w:r>
          <w:r>
            <w:rPr>
              <w:rFonts w:hint="eastAsia" w:ascii="楷体" w:hAnsi="楷体" w:eastAsia="楷体"/>
              <w:szCs w:val="24"/>
            </w:rPr>
            <w:t>镍：库存维持趋势性累库，反弹空间有限</w:t>
          </w:r>
          <w:r>
            <w:rPr>
              <w:bCs/>
            </w:rPr>
            <w:fldChar w:fldCharType="end"/>
          </w:r>
        </w:p>
        <w:p>
          <w:pPr>
            <w:pStyle w:val="74"/>
            <w:tabs>
              <w:tab w:val="right" w:leader="dot" w:pos="8306"/>
            </w:tabs>
          </w:pPr>
          <w:r>
            <w:rPr>
              <w:bCs/>
            </w:rPr>
            <w:fldChar w:fldCharType="begin"/>
          </w:r>
          <w:r>
            <w:rPr>
              <w:bCs/>
            </w:rPr>
            <w:instrText xml:space="preserve"> HYPERLINK \l _Toc4415 </w:instrText>
          </w:r>
          <w:r>
            <w:rPr>
              <w:bCs/>
            </w:rPr>
            <w:fldChar w:fldCharType="separate"/>
          </w:r>
          <w:r>
            <w:rPr>
              <w:rFonts w:hint="eastAsia" w:ascii="楷体" w:hAnsi="楷体" w:eastAsia="楷体"/>
              <w:szCs w:val="24"/>
            </w:rPr>
            <w:t>不锈钢：供需压力明显，宏观助涨作用有限</w:t>
          </w:r>
          <w:r>
            <w:rPr>
              <w:bCs/>
            </w:rPr>
            <w:fldChar w:fldCharType="end"/>
          </w:r>
        </w:p>
        <w:p>
          <w:pPr>
            <w:pStyle w:val="74"/>
            <w:tabs>
              <w:tab w:val="right" w:leader="dot" w:pos="8306"/>
            </w:tabs>
          </w:pPr>
          <w:r>
            <w:rPr>
              <w:bCs/>
            </w:rPr>
            <w:fldChar w:fldCharType="begin"/>
          </w:r>
          <w:r>
            <w:rPr>
              <w:bCs/>
            </w:rPr>
            <w:instrText xml:space="preserve"> HYPERLINK \l _Toc1356 </w:instrText>
          </w:r>
          <w:r>
            <w:rPr>
              <w:bCs/>
            </w:rPr>
            <w:fldChar w:fldCharType="separate"/>
          </w:r>
          <w:r>
            <w:rPr>
              <w:rFonts w:hint="eastAsia" w:ascii="楷体" w:hAnsi="楷体" w:eastAsia="楷体"/>
              <w:szCs w:val="24"/>
            </w:rPr>
            <w:t>工业硅：宏观情绪有所提振，短期维持震荡观点</w:t>
          </w:r>
          <w:r>
            <w:rPr>
              <w:bCs/>
            </w:rPr>
            <w:fldChar w:fldCharType="end"/>
          </w:r>
        </w:p>
        <w:p>
          <w:pPr>
            <w:pStyle w:val="59"/>
            <w:tabs>
              <w:tab w:val="right" w:leader="dot" w:pos="8306"/>
            </w:tabs>
          </w:pPr>
          <w:r>
            <w:rPr>
              <w:bCs/>
            </w:rPr>
            <w:fldChar w:fldCharType="begin"/>
          </w:r>
          <w:r>
            <w:rPr>
              <w:bCs/>
            </w:rPr>
            <w:instrText xml:space="preserve"> HYPERLINK \l _Toc2982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_Toc7370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成本支撑坚挺 天胶表现偏强</w:t>
          </w:r>
          <w:r>
            <w:rPr>
              <w:bCs/>
            </w:rPr>
            <w:fldChar w:fldCharType="end"/>
          </w:r>
        </w:p>
        <w:p>
          <w:pPr>
            <w:pStyle w:val="74"/>
            <w:tabs>
              <w:tab w:val="right" w:leader="dot" w:pos="8306"/>
            </w:tabs>
          </w:pPr>
          <w:r>
            <w:rPr>
              <w:bCs/>
            </w:rPr>
            <w:fldChar w:fldCharType="begin"/>
          </w:r>
          <w:r>
            <w:rPr>
              <w:bCs/>
            </w:rPr>
            <w:instrText xml:space="preserve"> HYPERLINK \l _Toc22966 </w:instrText>
          </w:r>
          <w:r>
            <w:rPr>
              <w:bCs/>
            </w:rPr>
            <w:fldChar w:fldCharType="separate"/>
          </w:r>
          <w:r>
            <w:rPr>
              <w:rFonts w:hint="eastAsia" w:ascii="Times New Roman" w:hAnsi="Times New Roman" w:eastAsia="楷体"/>
              <w:szCs w:val="24"/>
            </w:rPr>
            <w:t>聚烯烃：需求未见明显起色 聚烯烃跟随原油价格走势为主</w:t>
          </w:r>
          <w:r>
            <w:rPr>
              <w:bCs/>
            </w:rPr>
            <w:fldChar w:fldCharType="end"/>
          </w:r>
        </w:p>
        <w:p>
          <w:pPr>
            <w:pStyle w:val="74"/>
            <w:tabs>
              <w:tab w:val="right" w:leader="dot" w:pos="8306"/>
            </w:tabs>
          </w:pPr>
          <w:r>
            <w:rPr>
              <w:bCs/>
            </w:rPr>
            <w:fldChar w:fldCharType="begin"/>
          </w:r>
          <w:r>
            <w:rPr>
              <w:bCs/>
            </w:rPr>
            <w:instrText xml:space="preserve"> HYPERLINK \l _Toc31513 </w:instrText>
          </w:r>
          <w:r>
            <w:rPr>
              <w:bCs/>
            </w:rPr>
            <w:fldChar w:fldCharType="separate"/>
          </w:r>
          <w:r>
            <w:rPr>
              <w:rFonts w:hint="eastAsia" w:ascii="Times New Roman" w:hAnsi="Times New Roman" w:eastAsia="楷体"/>
              <w:szCs w:val="24"/>
            </w:rPr>
            <w:t>原油：降息预期与地缘政治事件双重利好，原油强势上涨</w:t>
          </w:r>
          <w:r>
            <w:rPr>
              <w:bCs/>
            </w:rPr>
            <w:fldChar w:fldCharType="end"/>
          </w:r>
        </w:p>
        <w:p>
          <w:pPr>
            <w:pStyle w:val="74"/>
            <w:tabs>
              <w:tab w:val="right" w:leader="dot" w:pos="8306"/>
            </w:tabs>
          </w:pPr>
          <w:r>
            <w:rPr>
              <w:bCs/>
            </w:rPr>
            <w:fldChar w:fldCharType="begin"/>
          </w:r>
          <w:r>
            <w:rPr>
              <w:bCs/>
            </w:rPr>
            <w:instrText xml:space="preserve"> HYPERLINK \l _Toc21229 </w:instrText>
          </w:r>
          <w:r>
            <w:rPr>
              <w:bCs/>
            </w:rPr>
            <w:fldChar w:fldCharType="separate"/>
          </w:r>
          <w:r>
            <w:rPr>
              <w:rFonts w:hint="eastAsia" w:ascii="Times New Roman" w:hAnsi="Times New Roman" w:eastAsia="楷体"/>
              <w:szCs w:val="24"/>
            </w:rPr>
            <w:t>燃料油及低硫燃料油：原油系走强，油化工利多！地缘风险助力，后市关注！</w:t>
          </w:r>
          <w:r>
            <w:rPr>
              <w:bCs/>
            </w:rPr>
            <w:fldChar w:fldCharType="end"/>
          </w:r>
        </w:p>
        <w:p>
          <w:pPr>
            <w:pStyle w:val="74"/>
            <w:tabs>
              <w:tab w:val="right" w:leader="dot" w:pos="8306"/>
            </w:tabs>
          </w:pPr>
          <w:r>
            <w:rPr>
              <w:bCs/>
            </w:rPr>
            <w:fldChar w:fldCharType="begin"/>
          </w:r>
          <w:r>
            <w:rPr>
              <w:bCs/>
            </w:rPr>
            <w:instrText xml:space="preserve"> HYPERLINK \l _Toc2603 </w:instrText>
          </w:r>
          <w:r>
            <w:rPr>
              <w:bCs/>
            </w:rPr>
            <w:fldChar w:fldCharType="separate"/>
          </w:r>
          <w:r>
            <w:rPr>
              <w:rFonts w:hint="eastAsia" w:ascii="Times New Roman" w:hAnsi="Times New Roman" w:eastAsia="楷体"/>
              <w:szCs w:val="24"/>
            </w:rPr>
            <w:t>沥青：原油上行助力，沥青现货上扬，供需制衡！</w:t>
          </w:r>
          <w:r>
            <w:rPr>
              <w:bCs/>
            </w:rPr>
            <w:fldChar w:fldCharType="end"/>
          </w:r>
        </w:p>
        <w:p>
          <w:pPr>
            <w:pStyle w:val="74"/>
            <w:tabs>
              <w:tab w:val="right" w:leader="dot" w:pos="8306"/>
            </w:tabs>
          </w:pPr>
          <w:r>
            <w:rPr>
              <w:bCs/>
            </w:rPr>
            <w:fldChar w:fldCharType="begin"/>
          </w:r>
          <w:r>
            <w:rPr>
              <w:bCs/>
            </w:rPr>
            <w:instrText xml:space="preserve"> HYPERLINK \l _Toc4147 </w:instrText>
          </w:r>
          <w:r>
            <w:rPr>
              <w:bCs/>
            </w:rPr>
            <w:fldChar w:fldCharType="separate"/>
          </w:r>
          <w:r>
            <w:rPr>
              <w:rFonts w:hint="eastAsia" w:ascii="Times New Roman" w:hAnsi="Times New Roman" w:eastAsia="楷体"/>
              <w:szCs w:val="24"/>
            </w:rPr>
            <w:t>PTA：后市仍存累库压力 价格持续改善空间受限</w:t>
          </w:r>
          <w:r>
            <w:rPr>
              <w:bCs/>
            </w:rPr>
            <w:fldChar w:fldCharType="end"/>
          </w:r>
        </w:p>
        <w:p>
          <w:pPr>
            <w:pStyle w:val="74"/>
            <w:tabs>
              <w:tab w:val="right" w:leader="dot" w:pos="8306"/>
            </w:tabs>
          </w:pPr>
          <w:r>
            <w:rPr>
              <w:bCs/>
            </w:rPr>
            <w:fldChar w:fldCharType="begin"/>
          </w:r>
          <w:r>
            <w:rPr>
              <w:bCs/>
            </w:rPr>
            <w:instrText xml:space="preserve"> HYPERLINK \l _Toc766 </w:instrText>
          </w:r>
          <w:r>
            <w:rPr>
              <w:bCs/>
            </w:rPr>
            <w:fldChar w:fldCharType="separate"/>
          </w:r>
          <w:r>
            <w:rPr>
              <w:rFonts w:hint="eastAsia" w:ascii="Times New Roman" w:hAnsi="Times New Roman" w:eastAsia="楷体"/>
              <w:szCs w:val="24"/>
            </w:rPr>
            <w:t>乙二醇：下游聚酯需求小幅改善 乙二醇或维持震荡走势</w:t>
          </w:r>
          <w:r>
            <w:rPr>
              <w:bCs/>
            </w:rPr>
            <w:fldChar w:fldCharType="end"/>
          </w:r>
        </w:p>
        <w:p>
          <w:pPr>
            <w:pStyle w:val="59"/>
            <w:tabs>
              <w:tab w:val="right" w:leader="dot" w:pos="8306"/>
            </w:tabs>
          </w:pPr>
          <w:r>
            <w:rPr>
              <w:bCs/>
            </w:rPr>
            <w:fldChar w:fldCharType="begin"/>
          </w:r>
          <w:r>
            <w:rPr>
              <w:bCs/>
            </w:rPr>
            <w:instrText xml:space="preserve"> HYPERLINK \l _Toc17254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_Toc394 </w:instrText>
          </w:r>
          <w:r>
            <w:rPr>
              <w:bCs/>
            </w:rPr>
            <w:fldChar w:fldCharType="separate"/>
          </w:r>
          <w:r>
            <w:rPr>
              <w:rFonts w:hint="eastAsia" w:ascii="楷体" w:hAnsi="楷体" w:eastAsia="楷体"/>
              <w:bCs/>
            </w:rPr>
            <w:t>玉米与淀粉：</w:t>
          </w:r>
          <w:r>
            <w:rPr>
              <w:rFonts w:hint="eastAsia" w:ascii="楷体" w:hAnsi="楷体" w:eastAsia="楷体"/>
            </w:rPr>
            <w:t>期价延续涨势</w:t>
          </w:r>
          <w:r>
            <w:rPr>
              <w:bCs/>
            </w:rPr>
            <w:fldChar w:fldCharType="end"/>
          </w:r>
        </w:p>
        <w:p>
          <w:pPr>
            <w:pStyle w:val="74"/>
            <w:tabs>
              <w:tab w:val="right" w:leader="dot" w:pos="8306"/>
            </w:tabs>
          </w:pPr>
          <w:r>
            <w:rPr>
              <w:bCs/>
            </w:rPr>
            <w:fldChar w:fldCharType="begin"/>
          </w:r>
          <w:r>
            <w:rPr>
              <w:bCs/>
            </w:rPr>
            <w:instrText xml:space="preserve"> HYPERLINK \l _Toc11256 </w:instrText>
          </w:r>
          <w:r>
            <w:rPr>
              <w:bCs/>
            </w:rPr>
            <w:fldChar w:fldCharType="separate"/>
          </w:r>
          <w:r>
            <w:rPr>
              <w:rFonts w:hint="eastAsia" w:ascii="楷体" w:hAnsi="楷体" w:eastAsia="楷体"/>
              <w:bCs/>
            </w:rPr>
            <w:t>畜禽养殖：生猪期价继续近弱远强分化运行</w:t>
          </w:r>
          <w:r>
            <w:rPr>
              <w:bCs/>
            </w:rPr>
            <w:fldChar w:fldCharType="end"/>
          </w:r>
        </w:p>
        <w:p>
          <w:pPr>
            <w:pStyle w:val="74"/>
            <w:tabs>
              <w:tab w:val="right" w:leader="dot" w:pos="8306"/>
            </w:tabs>
          </w:pPr>
          <w:r>
            <w:rPr>
              <w:bCs/>
            </w:rPr>
            <w:fldChar w:fldCharType="begin"/>
          </w:r>
          <w:r>
            <w:rPr>
              <w:bCs/>
            </w:rPr>
            <w:instrText xml:space="preserve"> HYPERLINK \l _Toc5449 </w:instrText>
          </w:r>
          <w:r>
            <w:rPr>
              <w:bCs/>
            </w:rPr>
            <w:fldChar w:fldCharType="separate"/>
          </w:r>
          <w:r>
            <w:rPr>
              <w:rFonts w:hint="eastAsia" w:ascii="楷体" w:hAnsi="楷体" w:eastAsia="楷体"/>
              <w:bCs/>
            </w:rPr>
            <w:t>白糖：震荡偏强</w:t>
          </w:r>
          <w:r>
            <w:rPr>
              <w:bCs/>
            </w:rPr>
            <w:fldChar w:fldCharType="end"/>
          </w:r>
        </w:p>
        <w:p>
          <w:pPr>
            <w:pStyle w:val="74"/>
            <w:tabs>
              <w:tab w:val="right" w:leader="dot" w:pos="8306"/>
            </w:tabs>
          </w:pPr>
          <w:r>
            <w:rPr>
              <w:bCs/>
            </w:rPr>
            <w:fldChar w:fldCharType="begin"/>
          </w:r>
          <w:r>
            <w:rPr>
              <w:bCs/>
            </w:rPr>
            <w:instrText xml:space="preserve"> HYPERLINK \l _Toc6643 </w:instrText>
          </w:r>
          <w:r>
            <w:rPr>
              <w:bCs/>
            </w:rPr>
            <w:fldChar w:fldCharType="separate"/>
          </w:r>
          <w:r>
            <w:rPr>
              <w:rFonts w:hint="eastAsia" w:ascii="楷体" w:hAnsi="楷体" w:eastAsia="楷体"/>
              <w:bCs/>
            </w:rPr>
            <w:t>棉花：预计郑棉震荡整理</w:t>
          </w:r>
          <w:r>
            <w:rPr>
              <w:bCs/>
            </w:rPr>
            <w:fldChar w:fldCharType="end"/>
          </w:r>
        </w:p>
        <w:p>
          <w:pPr>
            <w:pStyle w:val="74"/>
            <w:tabs>
              <w:tab w:val="right" w:leader="dot" w:pos="8306"/>
            </w:tabs>
          </w:pPr>
          <w:r>
            <w:rPr>
              <w:bCs/>
            </w:rPr>
            <w:fldChar w:fldCharType="begin"/>
          </w:r>
          <w:r>
            <w:rPr>
              <w:bCs/>
            </w:rPr>
            <w:instrText xml:space="preserve"> HYPERLINK \l _Toc6864 </w:instrText>
          </w:r>
          <w:r>
            <w:rPr>
              <w:bCs/>
            </w:rPr>
            <w:fldChar w:fldCharType="separate"/>
          </w:r>
          <w:r>
            <w:rPr>
              <w:rFonts w:hint="eastAsia" w:ascii="楷体" w:hAnsi="楷体" w:eastAsia="楷体"/>
              <w:bCs/>
            </w:rPr>
            <w:t>蛋白粕：供需格局依旧，期价震荡难走出区间</w:t>
          </w:r>
          <w:r>
            <w:rPr>
              <w:bCs/>
            </w:rPr>
            <w:fldChar w:fldCharType="end"/>
          </w:r>
        </w:p>
        <w:p>
          <w:pPr>
            <w:pStyle w:val="74"/>
            <w:tabs>
              <w:tab w:val="right" w:leader="dot" w:pos="8306"/>
            </w:tabs>
          </w:pPr>
          <w:r>
            <w:rPr>
              <w:bCs/>
            </w:rPr>
            <w:fldChar w:fldCharType="begin"/>
          </w:r>
          <w:r>
            <w:rPr>
              <w:bCs/>
            </w:rPr>
            <w:instrText xml:space="preserve"> HYPERLINK \l _Toc14746 </w:instrText>
          </w:r>
          <w:r>
            <w:rPr>
              <w:bCs/>
            </w:rPr>
            <w:fldChar w:fldCharType="separate"/>
          </w:r>
          <w:r>
            <w:rPr>
              <w:rFonts w:hint="eastAsia" w:ascii="楷体" w:hAnsi="楷体" w:eastAsia="楷体"/>
              <w:bCs/>
            </w:rPr>
            <w:t>油脂类：库存环比小降，棕榈油强势带动油脂价格</w:t>
          </w:r>
          <w:r>
            <w:rPr>
              <w:bCs/>
            </w:rPr>
            <w:fldChar w:fldCharType="end"/>
          </w:r>
        </w:p>
        <w:p>
          <w:pPr>
            <w:pStyle w:val="59"/>
            <w:tabs>
              <w:tab w:val="right" w:leader="dot" w:pos="8306"/>
            </w:tabs>
          </w:pPr>
          <w:r>
            <w:rPr>
              <w:bCs/>
            </w:rPr>
            <w:fldChar w:fldCharType="begin"/>
          </w:r>
          <w:r>
            <w:rPr>
              <w:bCs/>
            </w:rPr>
            <w:instrText xml:space="preserve"> HYPERLINK \l _Toc20299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_Toc30072 </w:instrText>
          </w:r>
          <w:r>
            <w:rPr>
              <w:bCs/>
            </w:rPr>
            <w:fldChar w:fldCharType="separate"/>
          </w:r>
          <w:r>
            <w:rPr>
              <w:rFonts w:hint="eastAsia" w:ascii="Times New Roman" w:hAnsi="Times New Roman" w:eastAsia="楷体"/>
              <w:szCs w:val="24"/>
            </w:rPr>
            <w:t>集运指数（欧线）：关注地缘冲突后续动向，期价上涨</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8033"/>
      <w:bookmarkStart w:id="2" w:name="_Toc19317"/>
      <w:bookmarkStart w:id="3" w:name="_Toc15881"/>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965"/>
      <w:bookmarkStart w:id="6" w:name="_Toc16295"/>
      <w:bookmarkStart w:id="7" w:name="_Toc16096"/>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维持弱市震荡观点</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A股受困于市场买盘单一，影响局部上攻持续性，首要关注能否温和放量上行，7月经济金融数据反映实体经济信心尚未扭转，内需偏弱的环境仍未改观， 8月中下旬中报密集披露，需再次规避微盘和绩差股的风险发酵。后续转折的关键，一是政策的落地及效果的乐观外推，在海外宽货币背景下，需观察国内宽货币的跟进力度，国内宽财政执行改善及效果的乐观预期发酵，再者则是海外不确定性的减退。</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26361"/>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6916"/>
      <w:r>
        <w:rPr>
          <w:rFonts w:hint="eastAsia" w:ascii="Times New Roman" w:hAnsi="Times New Roman" w:eastAsia="楷体"/>
          <w:b/>
          <w:color w:val="000000" w:themeColor="text1"/>
          <w:sz w:val="24"/>
          <w:szCs w:val="24"/>
          <w14:textFill>
            <w14:solidFill>
              <w14:schemeClr w14:val="tx1"/>
            </w14:solidFill>
          </w14:textFill>
        </w:rPr>
        <w:t>贵金属：美元指数小幅回升，贵金属价格上涨</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美元指数涨0.19%至100.88，沪金涨0.20%至575.66元/克，沪银涨0.94%至7643元/千克。美联储戴利表示，劳动力市场已实现完全平衡；调整政策的时机已到，很难想象有什么因素会干扰九月的降息；随着通胀回落，不希望继续收紧政策；没有看到劳动力市场突然疲软的迹象，现在判断降息幅度还为时尚早。上周非农数据初步下修，海外市场对于美国就业增长预期下调，较弱的就业表现或为美联储降息提供数据支撑。美联储主席讲话释放降息信号，后续9月会议降息落地或支撑贵金属价格上行，持续留意多头逢低布局机会。</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3096"/>
      <w:bookmarkStart w:id="11" w:name="金属"/>
      <w:bookmarkStart w:id="12" w:name="_Toc20891"/>
      <w:bookmarkStart w:id="13" w:name="_Toc13642"/>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20722"/>
      <w:bookmarkStart w:id="16" w:name="_Toc5371"/>
      <w:bookmarkStart w:id="17" w:name="_Toc27831"/>
      <w:r>
        <w:rPr>
          <w:rFonts w:hint="eastAsia" w:ascii="楷体" w:hAnsi="楷体" w:eastAsia="楷体"/>
          <w:b/>
          <w:color w:val="000000" w:themeColor="text1"/>
          <w:sz w:val="24"/>
          <w:szCs w:val="24"/>
          <w14:textFill>
            <w14:solidFill>
              <w14:schemeClr w14:val="tx1"/>
            </w14:solidFill>
          </w14:textFill>
        </w:rPr>
        <w:t>碳酸锂：Pilbara锂精矿年产量同比增长，期价小幅上涨</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期价窄幅震荡，11合约收涨0.27%至74350元/吨。澳大利亚锂企Pilbara业绩披露显示，2024财年Pilbara锂辉石精矿产量增长17%至725329吨，锂辉石精矿平均销售价格1347美元/吨（SC6.0，CIF中国）；计入了运费和特许权使用费的锂精矿单位运营成本为818美元/吨（CIF中国）；按计划进行增长战略，预计到2025年，Pilgangoora矿山产能扩张到100万吨/年；另外，不久前，Pilbara公告预计2025财年的锂辉石精矿产量将达到约80 - 84万吨。碳酸锂最新周度产量小幅下降，矿石提锂企业开工略微下行、仍面临成本倒挂的压力，生产利润多数亏损；盐湖提锂成本优势明显，近期气温适宜生产，产量维持高峰。碳酸锂周度库存略微上升，其中上游累库，下游以及贸易商等中游环节去库。汽车以旧换新补贴上调以及旺季临近，动力电池企业提前备库。下游需求回升但未扭转供需格局，库存仍处于高位，期价或区间震荡。</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8" w:name="_Toc6247"/>
      <w:bookmarkStart w:id="19" w:name="_Toc8897"/>
      <w:bookmarkStart w:id="20" w:name="_Toc21889"/>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观望2w压力位</w:t>
      </w:r>
      <w:bookmarkEnd w:id="20"/>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新增就业数据大幅下修，欧元区PMI公布数据仍在收缩区间，全球经济衰退交易逻辑仍未结束，9月美联储如期降息25BP为大概率事件，短期对市场情绪或有所提振。7月铝土矿进口增量明显，进入8月几内亚、澳洲铝土矿出港量明显减少，国内矿产供应有限，部分前期氧化铝高产产能进入检修，市场内氧化铝现货稀缺，电解铝成本支撑较强，电解铝中游冶炼开产积极，供应高位，交易所库存累积，社库小幅去化，进入传统消费旺季前下游备货情绪提振，实际旺季对需求的刺激效应仍待证伪。铝价近期快速上涨，上方20000一线仍有突破压力，等待消费变化及宏观指引。</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1" w:name="_Toc15475"/>
      <w:r>
        <w:rPr>
          <w:rFonts w:hint="eastAsia" w:ascii="楷体" w:hAnsi="楷体" w:eastAsia="楷体"/>
          <w:b/>
          <w:color w:val="000000" w:themeColor="text1"/>
          <w:sz w:val="24"/>
          <w:szCs w:val="24"/>
          <w14:textFill>
            <w14:solidFill>
              <w14:schemeClr w14:val="tx1"/>
            </w14:solidFill>
          </w14:textFill>
        </w:rPr>
        <w:t>锌：短期阶段性回调</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欧美经济数据表现疲软，全球经济衰退交易逻辑未止，美联储官员发言偏鸽派，9月大概率进入降息周期，预测降25BP，近期市场悲观情绪略有修复，持续警惕宏观反复。锌矿TC费率低迷，厂内原料可用库存保持低位，海外进口矿部分补充但依旧紧张，中游冶炼厂在生产利润亏损压力下部分厂家主动减产检修，精炼锌产量下降明显，8月21日中国锌企业会议就提升冶炼产能治理能力达成共识，年度生产计划预期调整近百万吨金属生产，进口锌少量补充，交易所库存+社会库存保持去库态势，下游加工消费依旧疲弱但临近旺季有转好预期，金九银十旺季效应等待证伪。锌价前期冲高快速上涨，近期或有阶段性回调 ，短线可逢高及时止盈。</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30762"/>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：短期保持偏多，高度谨慎</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(1)库存：8月26日，SHFE仓单库存143365吨，减1006吨；LME伦敦因夏季银行假日，休市一日。</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(2)精废价差：8月26日，Mysteel精废价差1458，扩张62。目前价差在合理价差1444之上。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宏观面，美联储主席鲍威尔在全球央行年会表态整体偏鸽派，短期市场或再次交易降息预期，美元指数继续走弱，提振整体有色金属。基本面，国内库存继续去化及传统旺季需求预期支撑价格，但LME库存大幅累增后谨防进口铜流入冲击。短期铜价维持偏多运行，考虑到全球经济仍有走弱压力，铜价上行高度需谨慎，价格主波动区间参考7.3-7.6万。</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18444"/>
      <w:r>
        <w:rPr>
          <w:rFonts w:hint="eastAsia" w:ascii="楷体" w:hAnsi="楷体" w:eastAsia="楷体"/>
          <w:b/>
          <w:color w:val="000000" w:themeColor="text1"/>
          <w:sz w:val="24"/>
          <w:szCs w:val="24"/>
          <w14:textFill>
            <w14:solidFill>
              <w14:schemeClr w14:val="tx1"/>
            </w14:solidFill>
          </w14:textFill>
        </w:rPr>
        <w:t>镍：库存维持趋势性累库，反弹空间有限</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美联储主席鲍威尔在央行年会上发言偏鸽，给予明确转入降息周期指引，美元指数下挫，为有色板块带来情绪提振。镍矿方面，印尼镍矿供应仍受到天气干扰，向菲律宾进口镍矿数量继续上升，上周印尼镍矿内贸价格+22美元/湿吨。硫酸镍方面，中间品价格企稳带来成本支撑，而受困于库存高企，新能源汽车需求边际回暖难以传导至硫酸镍，硫酸镍价格上下波动有限。据Mysteel数据，高冰镍一体化生产精炼镍成本为12.87万元/吨。供需方面，现货成交氛围未有起色，海内外库存维持趋势性累库。综合而言，在自身基本面驱动不足情况下，短期镍价主要受宏观驱动，美联储降息预期升温提振市场情绪，但精炼镍显著过剩格局下，谨慎对待反弹空间，关注135000关口压力位。</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4415"/>
      <w:r>
        <w:rPr>
          <w:rFonts w:hint="eastAsia" w:ascii="楷体" w:hAnsi="楷体" w:eastAsia="楷体"/>
          <w:b/>
          <w:color w:val="000000" w:themeColor="text1"/>
          <w:sz w:val="24"/>
          <w:szCs w:val="24"/>
          <w14:textFill>
            <w14:solidFill>
              <w14:schemeClr w14:val="tx1"/>
            </w14:solidFill>
          </w14:textFill>
        </w:rPr>
        <w:t>不锈钢：供需压力明显，宏观助涨作用有限</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昨日日不锈钢期价上涨主要由于市场交易降息预期，市场情绪偏多。镍矿方面，印尼镍矿维持供应紧张格局，印尼镍矿内贸升水居高不下。镍铁方面，需求负反馈使近日镍铁价格下调至1000元/镍附近，但考虑到镍矿成本坚挺、镍铁供需健康，预计镍铁价格持稳为主。铬铁方面，青山9月高碳铬铁钢招价下调200元/50基吨。供需方面，临近金九银十传统旺季，下游成交氛围整体仍以刚需采购为主，不锈钢厂存在减产可能。综合而言，当前不锈钢市场供需压力明显，库存消化能力缓慢，降息预期难以对期价形成明显助涨，有效反弹需要看到需求恢复或减产启动，与此同时，由于印尼矿端偏紧，难以对原料价格形成明显的负反馈，期价下方空间也有限，预计13500-14300区间震荡为主。</w:t>
      </w:r>
    </w:p>
    <w:p>
      <w:pPr>
        <w:rPr>
          <w:rFonts w:ascii="楷体" w:hAnsi="楷体" w:eastAsia="楷体"/>
          <w:bCs/>
          <w:sz w:val="24"/>
          <w:szCs w:val="24"/>
        </w:rPr>
      </w:pPr>
    </w:p>
    <w:p>
      <w:pPr>
        <w:ind w:left="420" w:leftChars="200"/>
        <w:outlineLvl w:val="1"/>
        <w:rPr>
          <w:rFonts w:ascii="楷体" w:hAnsi="楷体" w:eastAsia="楷体"/>
          <w:b/>
          <w:sz w:val="24"/>
          <w:szCs w:val="24"/>
        </w:rPr>
      </w:pPr>
      <w:bookmarkStart w:id="25" w:name="_Toc1356"/>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宏观情绪有所提振，短期维持震荡观点</w:t>
      </w:r>
      <w:bookmarkEnd w:id="25"/>
    </w:p>
    <w:p>
      <w:pPr>
        <w:ind w:left="630" w:leftChars="300"/>
        <w:rPr>
          <w:rFonts w:ascii="楷体" w:hAnsi="楷体" w:eastAsia="楷体"/>
          <w:sz w:val="24"/>
          <w:szCs w:val="24"/>
        </w:rPr>
      </w:pPr>
      <w:r>
        <w:rPr>
          <w:rFonts w:hint="eastAsia" w:ascii="楷体" w:hAnsi="楷体" w:eastAsia="楷体"/>
          <w:sz w:val="24"/>
          <w:szCs w:val="24"/>
        </w:rPr>
        <w:t>8月26日，Si2411主力合约呈延续下行走势，收盘价9500元/吨，较上一收盘价涨跌幅-0.99%。从宏观面来看，美联储主席鲍威尔在全球央行年会表态整体偏鸽派，短期市场再次交易降息预期，对工业品或有提振。从基本面来看，近期由于下游采购积极性增强，现货市场活跃度提升，仓单整体有所注销，在盘面估值整体相对较低，预计进一步大幅下跌空间有限，但宽松格局暂未出现明显改善，且库存压力仍存，对盘面大幅反弹仍有压制。因此，在无明显单边驱动情况下，短期盘面维持震荡观点，主力合约参考区间（9300，10000）。</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6" w:name="化工"/>
      <w:r>
        <w:rPr>
          <w:rFonts w:hint="eastAsia" w:ascii="Times New Roman" w:hAnsi="Times New Roman" w:eastAsia="楷体"/>
          <w:b/>
          <w:color w:val="823C0B"/>
          <w:sz w:val="30"/>
          <w:szCs w:val="30"/>
        </w:rPr>
        <w:t xml:space="preserve"> </w:t>
      </w:r>
      <w:bookmarkStart w:id="27" w:name="_Toc2982"/>
      <w:r>
        <w:rPr>
          <w:rFonts w:hint="eastAsia" w:ascii="Times New Roman" w:hAnsi="Times New Roman" w:eastAsia="楷体"/>
          <w:b/>
          <w:color w:val="823C0B"/>
          <w:sz w:val="30"/>
          <w:szCs w:val="30"/>
        </w:rPr>
        <w:t>[化工]</w:t>
      </w:r>
      <w:bookmarkEnd w:id="26"/>
      <w:bookmarkEnd w:id="27"/>
    </w:p>
    <w:p>
      <w:pPr>
        <w:ind w:firstLine="482" w:firstLineChars="200"/>
        <w:outlineLvl w:val="1"/>
        <w:rPr>
          <w:rFonts w:ascii="楷体" w:hAnsi="楷体" w:eastAsia="楷体"/>
          <w:b/>
          <w:sz w:val="24"/>
          <w:szCs w:val="24"/>
        </w:rPr>
      </w:pPr>
      <w:bookmarkStart w:id="28" w:name="_Toc7370"/>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成本支撑坚挺 天胶表现偏强</w:t>
      </w:r>
      <w:bookmarkEnd w:id="28"/>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点评：昨日天胶震荡偏强。目前看，产区季节性上量预期仍存，但海运问题导致物流环节运输受限，进口胶到港量或不及预期，港口去库状态维持，现货溢价短时难以缓解。需求端来看，下游轮胎企业开工率高位维持，半钢胎在海外出口需求旺盛下，开工率高位持稳，对原料补库积极性提高，提振天胶消费。全钢胎消费稳中转好。终端汽车方面，8月车企优惠政策延续。根据工信部最新公布的新车上市名录里面可以看到，多家车企的新车型与换代车型将于近期发售，亦将刺激未来汽车销售增长预期。整体看，近期海外原料价格止跌企稳，对胶价底部支撑未出现进一步恶化。中长线来看，全年天然橡胶依旧处于供小于求的供需格局，建议待回调到位后关注逢低做多的机会。</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29" w:name="_Toc22966"/>
      <w:r>
        <w:rPr>
          <w:rFonts w:hint="eastAsia" w:ascii="Times New Roman" w:hAnsi="Times New Roman" w:eastAsia="楷体"/>
          <w:b/>
          <w:color w:val="000000" w:themeColor="text1"/>
          <w:sz w:val="24"/>
          <w:szCs w:val="24"/>
          <w14:textFill>
            <w14:solidFill>
              <w14:schemeClr w14:val="tx1"/>
            </w14:solidFill>
          </w14:textFill>
        </w:rPr>
        <w:t>聚烯烃：需求未见明显起色 聚烯烃跟随原油价格走势为主</w:t>
      </w:r>
      <w:bookmarkEnd w:id="29"/>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目前聚烯烃仍处于石化厂检修季节，供应端减量，石化库存中性偏高，开工负荷均处于低位，装置检修损失量较高。但聚烯烃整体下游市场需求并不是很好，订单持平偏弱，利润同比更弱，成品库存较高的情况下难以看到大规模的补库，整体处于下游旺季结束阶段，PE下游农膜开工率季节性回落，其余下游需求尚可。PP进口窗口关闭，LL进口利润与PP出口利润盈亏平衡附近。6月份聚烯烃供需格局有继续走弱的预期，主要是供应端后期检修装置减少，供应环比增加，下半年还有新装置投产的预期，其中PP表现的更加明显。在基本面表现平平无奇下，聚烯烃价格走势整体跟随成本端原油波动为主。</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0" w:name="_Toc31513"/>
      <w:r>
        <w:rPr>
          <w:rFonts w:hint="eastAsia" w:ascii="Times New Roman" w:hAnsi="Times New Roman" w:eastAsia="楷体"/>
          <w:b/>
          <w:color w:val="000000" w:themeColor="text1"/>
          <w:sz w:val="24"/>
          <w:szCs w:val="24"/>
          <w14:textFill>
            <w14:solidFill>
              <w14:schemeClr w14:val="tx1"/>
            </w14:solidFill>
          </w14:textFill>
        </w:rPr>
        <w:t>原油：降息预期与地缘政治事件双重利好，原油强势上涨</w:t>
      </w:r>
      <w:bookmarkEnd w:id="30"/>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原油期货价格受到降息预期与地缘政治因素的双重提振而上涨。WTI原油10月期货结算价涨幅3.46%，报77.42美元/桶。布伦特原油10月期货结算价涨幅3.05%，报81.43美元/桶。中国原油期货SC主力合约涨幅2.69%，报569.79/桶。</w:t>
      </w:r>
    </w:p>
    <w:p>
      <w:pPr>
        <w:ind w:left="630" w:leftChars="300"/>
        <w:rPr>
          <w:rFonts w:hint="eastAsia" w:ascii="楷体" w:hAnsi="楷体" w:eastAsia="楷体"/>
          <w:sz w:val="24"/>
          <w:szCs w:val="24"/>
        </w:rPr>
      </w:pPr>
      <w:r>
        <w:rPr>
          <w:rFonts w:hint="eastAsia" w:ascii="楷体" w:hAnsi="楷体" w:eastAsia="楷体"/>
          <w:sz w:val="24"/>
          <w:szCs w:val="24"/>
        </w:rPr>
        <w:t>美联储主席鲍威尔在8月23日的讲话中释放出强烈的降息信号，市场普遍预期9月会议将启动降息周期，这一举措旨在支持经济增长。尽管降息幅度尚不确定，但这一预期为油价提供了支撑。</w:t>
      </w:r>
    </w:p>
    <w:p>
      <w:pPr>
        <w:ind w:left="630" w:leftChars="300"/>
        <w:rPr>
          <w:rFonts w:hint="eastAsia" w:ascii="楷体" w:hAnsi="楷体" w:eastAsia="楷体"/>
          <w:sz w:val="24"/>
          <w:szCs w:val="24"/>
        </w:rPr>
      </w:pPr>
      <w:r>
        <w:rPr>
          <w:rFonts w:hint="eastAsia" w:ascii="楷体" w:hAnsi="楷体" w:eastAsia="楷体"/>
          <w:sz w:val="24"/>
          <w:szCs w:val="24"/>
        </w:rPr>
        <w:t>中东地区紧张局势升级，黎巴嫩真主党对以色列的袭击导致两国关系急剧恶化，并促使以色列宣布全国进入紧急状态。此外，利比亚的政治动荡也增加了市场的不确定性，其东部政府宣布所有石油设施遭遇“不可抗力”，加剧了轻质低硫原油供应中断的风险。</w:t>
      </w:r>
    </w:p>
    <w:p>
      <w:pPr>
        <w:ind w:left="630" w:leftChars="300"/>
        <w:rPr>
          <w:rFonts w:hint="eastAsia" w:ascii="楷体" w:hAnsi="楷体" w:eastAsia="楷体"/>
          <w:sz w:val="24"/>
          <w:szCs w:val="24"/>
        </w:rPr>
      </w:pPr>
      <w:r>
        <w:rPr>
          <w:rFonts w:hint="eastAsia" w:ascii="楷体" w:hAnsi="楷体" w:eastAsia="楷体"/>
          <w:sz w:val="24"/>
          <w:szCs w:val="24"/>
        </w:rPr>
        <w:t>美国方面，能源部计划继续补充战略石油储备（SPR），近期已购入250万桶石油，并计划再购入360万桶，预计交付时间为2024年初。这些因素短期内推升油价，但长期来看，供需基本面偏弱，尤其是美国需求可能季节性下滑，以及OPEC可能在四季度退出减产措施，预示着油价中枢存在下调压力。</w:t>
      </w:r>
    </w:p>
    <w:p>
      <w:pPr>
        <w:ind w:left="630" w:leftChars="300"/>
        <w:rPr>
          <w:rFonts w:hint="eastAsia" w:ascii="楷体" w:hAnsi="楷体" w:eastAsia="楷体"/>
          <w:sz w:val="24"/>
          <w:szCs w:val="24"/>
        </w:rPr>
      </w:pPr>
      <w:r>
        <w:rPr>
          <w:rFonts w:hint="eastAsia" w:ascii="楷体" w:hAnsi="楷体" w:eastAsia="楷体"/>
          <w:sz w:val="24"/>
          <w:szCs w:val="24"/>
        </w:rPr>
        <w:t>综合而言，短期内油价受美联储降息预期和地缘政治事件的影响呈现强势，但未来走势将取决于中东地区的后续发展以及其他供需因素的变化。今天关注美国至8月23日当周API原油库存。WTI原油主力合约价格有望进一步冲击78.5美元/桶附件阻力，下方在75美元/桶附近有一定支撑；布伦特原油主力合约价格有望测试前高82.40美元/桶，下方79美元/桶附近存在一定支撑。</w:t>
      </w:r>
    </w:p>
    <w:p>
      <w:pPr>
        <w:ind w:left="630" w:leftChars="300"/>
        <w:rPr>
          <w:rFonts w:hint="eastAsia" w:ascii="楷体" w:hAnsi="楷体" w:eastAsia="楷体"/>
          <w:sz w:val="24"/>
          <w:szCs w:val="24"/>
          <w:lang w:val="en-US" w:eastAsia="zh-CN"/>
        </w:rPr>
      </w:pPr>
    </w:p>
    <w:p>
      <w:pPr>
        <w:ind w:firstLine="482" w:firstLineChars="200"/>
        <w:outlineLvl w:val="1"/>
        <w:rPr>
          <w:rFonts w:ascii="楷体" w:hAnsi="楷体" w:eastAsia="楷体"/>
          <w:b/>
          <w:sz w:val="24"/>
          <w:szCs w:val="24"/>
        </w:rPr>
      </w:pPr>
      <w:bookmarkStart w:id="31" w:name="_Toc21229"/>
      <w:r>
        <w:rPr>
          <w:rFonts w:hint="eastAsia" w:ascii="Times New Roman" w:hAnsi="Times New Roman" w:eastAsia="楷体"/>
          <w:b/>
          <w:color w:val="000000" w:themeColor="text1"/>
          <w:sz w:val="24"/>
          <w:szCs w:val="24"/>
          <w14:textFill>
            <w14:solidFill>
              <w14:schemeClr w14:val="tx1"/>
            </w14:solidFill>
          </w14:textFill>
        </w:rPr>
        <w:t>燃料油及低硫燃料油：原油系走强，油化工利多！地缘风险助力，后市关注！</w:t>
      </w:r>
      <w:bookmarkEnd w:id="31"/>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市场氛围转强，原油系集体大涨，中东地区地缘风险逐步外溢，为油化工带来利多影响。燃料油主力合约FU2411涨幅2.27%，报3114元/吨；低硫燃料油主力合约LU2411涨幅2.92%，报4231元/吨。</w:t>
      </w:r>
    </w:p>
    <w:p>
      <w:pPr>
        <w:ind w:left="630" w:leftChars="300"/>
        <w:rPr>
          <w:rFonts w:hint="eastAsia" w:ascii="楷体" w:hAnsi="楷体" w:eastAsia="楷体"/>
          <w:sz w:val="24"/>
          <w:szCs w:val="24"/>
        </w:rPr>
      </w:pPr>
      <w:r>
        <w:rPr>
          <w:rFonts w:hint="eastAsia" w:ascii="楷体" w:hAnsi="楷体" w:eastAsia="楷体"/>
          <w:sz w:val="24"/>
          <w:szCs w:val="24"/>
        </w:rPr>
        <w:t>在供给端，非制裁油供给紧缺，叠加中东、南亚地区夏季发电需求高峰期，中东地区高硫出口减少，俄罗斯炼厂受袭也预计将在短期内减少其对亚洲的出口，新加坡高硫进口量进一步收紧。而低硫方面，欧洲低硫生产增加，预计8月份将有大量低硫燃油自西方运抵新加坡，同时科威特Al-Zour炼厂的低硫燃料油供应也将增加，整体低硫供给逐步走宽。</w:t>
      </w:r>
    </w:p>
    <w:p>
      <w:pPr>
        <w:ind w:left="630" w:leftChars="300"/>
        <w:rPr>
          <w:rFonts w:hint="eastAsia" w:ascii="楷体" w:hAnsi="楷体" w:eastAsia="楷体"/>
          <w:sz w:val="24"/>
          <w:szCs w:val="24"/>
        </w:rPr>
      </w:pPr>
      <w:r>
        <w:rPr>
          <w:rFonts w:hint="eastAsia" w:ascii="楷体" w:hAnsi="楷体" w:eastAsia="楷体"/>
          <w:sz w:val="24"/>
          <w:szCs w:val="24"/>
        </w:rPr>
        <w:t>在需求端，低硫燃料油因出口配额余量紧张，国内部分主营炼厂产量下滑，供应继续收紧。而开渔叠加“金九”支撑船燃业者心态，需求有所改善。然而，高硫方面，尽管非制裁油供应紧张以及高硫船加油需求走强继续支撑市场，但炼油利润下降和发电高峰结束预计将导致高硫燃料油需求显著走弱。</w:t>
      </w:r>
    </w:p>
    <w:p>
      <w:pPr>
        <w:ind w:left="630" w:leftChars="300"/>
        <w:rPr>
          <w:rFonts w:hint="eastAsia" w:ascii="楷体" w:hAnsi="楷体" w:eastAsia="楷体"/>
          <w:sz w:val="24"/>
          <w:szCs w:val="24"/>
        </w:rPr>
      </w:pPr>
      <w:r>
        <w:rPr>
          <w:rFonts w:hint="eastAsia" w:ascii="楷体" w:hAnsi="楷体" w:eastAsia="楷体"/>
          <w:sz w:val="24"/>
          <w:szCs w:val="24"/>
        </w:rPr>
        <w:t>从价差结构来看，低硫燃料油市场结构持稳，而高硫燃料油市场边际走弱。预计未来船用高硫燃料油的市场份额比例会继续增加。中东发往亚洲的高硫货源逐步增加，高硫发电需求边际下滑，低硫维持近强远弱格局。在当前油价波动较大背景之下，高低硫价差（LU-FU）有一定上行驱动，建议关注空FU多LU策略。</w:t>
      </w:r>
    </w:p>
    <w:p>
      <w:pPr>
        <w:ind w:left="630" w:leftChars="300"/>
        <w:rPr>
          <w:rFonts w:hint="eastAsia" w:ascii="楷体" w:hAnsi="楷体" w:eastAsia="楷体"/>
          <w:sz w:val="24"/>
          <w:szCs w:val="24"/>
        </w:rPr>
      </w:pPr>
      <w:r>
        <w:rPr>
          <w:rFonts w:hint="eastAsia" w:ascii="楷体" w:hAnsi="楷体" w:eastAsia="楷体"/>
          <w:sz w:val="24"/>
          <w:szCs w:val="24"/>
        </w:rPr>
        <w:t>短期内，燃料油及低硫燃料油有望保持强势，需密切关注国际原油市场动态以及地缘政治风险对油价的影响。</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2" w:name="_Toc2603"/>
      <w:r>
        <w:rPr>
          <w:rFonts w:hint="eastAsia" w:ascii="Times New Roman" w:hAnsi="Times New Roman" w:eastAsia="楷体"/>
          <w:b/>
          <w:color w:val="000000" w:themeColor="text1"/>
          <w:sz w:val="24"/>
          <w:szCs w:val="24"/>
          <w14:textFill>
            <w14:solidFill>
              <w14:schemeClr w14:val="tx1"/>
            </w14:solidFill>
          </w14:textFill>
        </w:rPr>
        <w:t>沥青：原油上行助力，沥青现货上扬，供需制衡！</w:t>
      </w:r>
      <w:bookmarkEnd w:id="32"/>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今日，华北市场沥青现货价格出现上涨，而其余地区则大体保持企稳。这一动态主要受到原油及沥青期货盘面上行的影响，提振了沥青现货市场的情绪。尽管沥青的刚性需求改善有限，但期货市场的积极表现对现货价格构成了利好。从原油市场来看，美联储的货币政策转向预期为油市提供了一定支撑，叠加中东地缘局势的扰动以及美国的去库趋势，短期油价预计趋强整理。这一利好增强了沥青市场的信心，沥青期货主力合约BU2410在连续四个工作日下跌后反弹，涨幅2.36%，收3474元/吨。</w:t>
      </w:r>
    </w:p>
    <w:p>
      <w:pPr>
        <w:ind w:left="630" w:leftChars="300"/>
        <w:rPr>
          <w:rFonts w:hint="eastAsia" w:ascii="楷体" w:hAnsi="楷体" w:eastAsia="楷体"/>
          <w:sz w:val="24"/>
          <w:szCs w:val="24"/>
        </w:rPr>
      </w:pPr>
      <w:r>
        <w:rPr>
          <w:rFonts w:hint="eastAsia" w:ascii="楷体" w:hAnsi="楷体" w:eastAsia="楷体"/>
          <w:sz w:val="24"/>
          <w:szCs w:val="24"/>
        </w:rPr>
        <w:t>盘面的走强对现货价格构成了利好。然而，从需求端来看，沥青市场的需求改善温和，旺季需求表现一般。供应端仍旧充裕，而需求端利好不足。这限制了沥青价格的上涨空间。分地区来看，西北、东北、山东、华东、华南以及川渝市场的沥青现货价格均保持稳定。这些地区的沥青供应相对充裕，而需求则表现不一。部分地区由于气温偏高或社会库存去化明显等因素影响，但总体价格仍保持稳定。</w:t>
      </w:r>
    </w:p>
    <w:p>
      <w:pPr>
        <w:ind w:left="630" w:leftChars="300"/>
        <w:rPr>
          <w:rFonts w:hint="eastAsia" w:ascii="楷体" w:hAnsi="楷体" w:eastAsia="楷体"/>
          <w:sz w:val="24"/>
          <w:szCs w:val="24"/>
        </w:rPr>
      </w:pPr>
      <w:r>
        <w:rPr>
          <w:rFonts w:hint="eastAsia" w:ascii="楷体" w:hAnsi="楷体" w:eastAsia="楷体"/>
          <w:sz w:val="24"/>
          <w:szCs w:val="24"/>
        </w:rPr>
        <w:t>综上所述，沥青现货市场在原油和期货市场的提振下表现出一定的上涨态势。然而，由于需求端的利好不足以及供应端的充裕，预计未来几日现货市场价格或延续稳定为主。</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3" w:name="_Toc4147"/>
      <w:r>
        <w:rPr>
          <w:rFonts w:hint="eastAsia" w:ascii="Times New Roman" w:hAnsi="Times New Roman" w:eastAsia="楷体"/>
          <w:b/>
          <w:color w:val="000000" w:themeColor="text1"/>
          <w:sz w:val="24"/>
          <w:szCs w:val="24"/>
          <w14:textFill>
            <w14:solidFill>
              <w14:schemeClr w14:val="tx1"/>
            </w14:solidFill>
          </w14:textFill>
        </w:rPr>
        <w:t>PTA：后市仍存累库压力 价格持续改善空间受限</w:t>
      </w:r>
      <w:bookmarkEnd w:id="33"/>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PTA市场氛围依旧偏弱。目前汉邦220万吨装置已重启，恒力石化（大连）250万吨PTA-5装置已检修，9月宁波台化120万吨PTA装置计划月初检修，四川能投100万吨PTA装置计划8月下重启，恒力大连一套220万吨装置计划9月检修。PTA开工率环比变动不大。需求方面聚酯整体库存依旧偏高，终端织造订单在高温天气缓和影响下局部改善，旺季聚酯开工仍有提升空间但可能相对有限。PTA后市或依然存在累库压力。仅供参考。</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4" w:name="_Toc766"/>
      <w:r>
        <w:rPr>
          <w:rFonts w:hint="eastAsia" w:ascii="Times New Roman" w:hAnsi="Times New Roman" w:eastAsia="楷体"/>
          <w:b/>
          <w:color w:val="000000" w:themeColor="text1"/>
          <w:sz w:val="24"/>
          <w:szCs w:val="24"/>
          <w14:textFill>
            <w14:solidFill>
              <w14:schemeClr w14:val="tx1"/>
            </w14:solidFill>
          </w14:textFill>
        </w:rPr>
        <w:t>乙二醇：下游聚酯需求小幅改善 乙二醇或维持震荡走势</w:t>
      </w:r>
      <w:bookmarkEnd w:id="34"/>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sz w:val="24"/>
          <w:szCs w:val="24"/>
        </w:rPr>
        <w:t>近期乙二醇供增需减，市场交投气氛回落，港口到港本周有所延迟，主港乙二醇发货出现回落，乙二醇基差月差周环比小幅走弱。供应方面，乙二醇国内产量回升速度依旧较慢，9月从涉及检修和重启装置统计来看乙二醇月开工率环比变动不大。近期乙二醇内外盘价差缩小，8月下旬乙二醇合约货到港较为集中，港口库存预期回升。需求方面聚酯整体库存依旧偏高，终端织造订单在高温天气缓和影响下局部改善。价格可能维持震荡走势。仅供参考。</w:t>
      </w:r>
    </w:p>
    <w:p>
      <w:pPr>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5" w:name="_Toc17254"/>
      <w:r>
        <w:rPr>
          <w:rFonts w:hint="eastAsia" w:ascii="Times New Roman" w:hAnsi="Times New Roman" w:eastAsia="楷体"/>
          <w:b/>
          <w:color w:val="823C0B"/>
          <w:sz w:val="30"/>
          <w:szCs w:val="30"/>
        </w:rPr>
        <w:t>[农产品]</w:t>
      </w:r>
      <w:bookmarkEnd w:id="14"/>
      <w:bookmarkEnd w:id="35"/>
    </w:p>
    <w:p>
      <w:pPr>
        <w:pStyle w:val="93"/>
        <w:spacing w:before="60" w:beforeAutospacing="0" w:after="60" w:afterAutospacing="0"/>
        <w:ind w:left="420" w:leftChars="200"/>
        <w:outlineLvl w:val="1"/>
        <w:rPr>
          <w:rFonts w:hint="eastAsia" w:ascii="楷体" w:hAnsi="楷体" w:eastAsia="楷体"/>
          <w:b/>
        </w:rPr>
      </w:pPr>
      <w:bookmarkStart w:id="36" w:name="_Toc394"/>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期价延续涨势</w:t>
      </w:r>
      <w:bookmarkEnd w:id="36"/>
    </w:p>
    <w:p>
      <w:pPr>
        <w:pStyle w:val="93"/>
        <w:spacing w:before="60" w:beforeAutospacing="0" w:after="60" w:afterAutospacing="0"/>
        <w:ind w:left="630" w:leftChars="300"/>
        <w:rPr>
          <w:rFonts w:hint="eastAsia" w:ascii="楷体" w:hAnsi="楷体" w:eastAsia="楷体"/>
        </w:rPr>
      </w:pPr>
      <w:r>
        <w:rPr>
          <w:rFonts w:hint="eastAsia" w:ascii="楷体" w:hAnsi="楷体" w:eastAsia="楷体"/>
        </w:rPr>
        <w:t>对于玉米而言，在近期期价反弹过程中，11月和1月合约表现相对突出，这主要源于两个方面的原因，其一是市场传言称国家有意控制四季度进口谷物数量，其二是市场担心新旧作衔接问题，因市场预期中的贸易商去库并未出现，反而是中下游库存持续下降，导致各地现货均出现上涨苗头。在这种情况下，我们可以认为市场利空已经在很大程度上得到反映，接下来需要留意的是新作上市压力预期，但考虑到今年天气异常带来潜在的减产，不排除这一问题让位于现货，再加上市场对下一年度供需预估较当前年度紧张，甚至不排除市场逐步趋于乐观，提前进入补库周期的可能性。综上所述，我们维持谨慎看多观点，建议谨慎投资者观望，激进投资者可以考虑持有前期多单。</w:t>
      </w:r>
    </w:p>
    <w:p>
      <w:pPr>
        <w:pStyle w:val="93"/>
        <w:spacing w:before="60" w:beforeAutospacing="0" w:after="60" w:afterAutospacing="0"/>
        <w:ind w:left="630" w:leftChars="300"/>
        <w:rPr>
          <w:rFonts w:hint="eastAsia" w:ascii="楷体" w:hAnsi="楷体" w:eastAsia="楷体"/>
          <w:lang w:val="en-US" w:eastAsia="zh-CN"/>
        </w:rPr>
      </w:pPr>
      <w:r>
        <w:rPr>
          <w:rFonts w:hint="eastAsia" w:ascii="楷体" w:hAnsi="楷体" w:eastAsia="楷体"/>
        </w:rPr>
        <w:t>对于淀粉而言，近期淀粉-玉米价差除近月外多有走扩，主要源于影响价差的三个方面因素均转向利多，其一是行业供需趋于改善即行业库存继续下滑，其二是副产品端因外盘美豆带动国内蛋白粕继续弱势，其三是原料成本端华北玉米率先反弹。再加上淀粉现货基差高企，而盘面生产利润为负，淀粉-玉米价差有望继续走扩。综上所述，我们维持谨慎看多观点，建议谨慎投资者观望或持有做扩淀粉-玉米价差，激进投资者可以考虑持有前期多单。</w:t>
      </w:r>
    </w:p>
    <w:p>
      <w:pPr>
        <w:pStyle w:val="93"/>
        <w:spacing w:before="60" w:beforeAutospacing="0" w:after="60" w:afterAutospacing="0"/>
        <w:ind w:left="630" w:leftChars="300"/>
        <w:rPr>
          <w:rFonts w:hint="eastAsia" w:ascii="楷体" w:hAnsi="楷体" w:eastAsia="楷体"/>
          <w:lang w:val="en-US" w:eastAsia="zh-CN"/>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7" w:name="_Toc11256"/>
      <w:r>
        <w:rPr>
          <w:rFonts w:hint="eastAsia" w:ascii="楷体" w:hAnsi="楷体" w:eastAsia="楷体"/>
          <w:b/>
          <w:bCs/>
          <w:color w:val="000000" w:themeColor="text1"/>
          <w14:textFill>
            <w14:solidFill>
              <w14:schemeClr w14:val="tx1"/>
            </w14:solidFill>
          </w14:textFill>
        </w:rPr>
        <w:t>畜禽养殖：生猪期价继续近弱远强分化运行</w:t>
      </w:r>
      <w:bookmarkEnd w:id="37"/>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从期货盘面表现来看，整体转为近弱远强，近月受现货带动大幅下跌，因市场担心现货高点已经出现，后期将持续弱势；而远月相对抗跌，主要原因有二，其一是前期已经大幅下跌，在一定程度上反映后期供需改善预期，其二是市场看跌预期或导致养殖户抑制供应端，缓解远期供需过剩。在理解盘面的基础上看，远月关注供需改善幅度及其饲料成本预期，考虑到远月期价贴近，目前证伪难度较大；近月更多关注节奏，特别是生猪出栏恢复的进度与生猪出栏体重的变化，这里面需要跟过去两年做个比较，2022年更多源于市场压栏和新冠疫情，2023年更多源于非瘟疫情和资金链因素。与过去两年相比，当前生猪出栏体重逼近2022年，再加上近期肥标价差出现较大回落，使得市场担心现货高点已经出现，有望带动一波出栏，继而通过现货带动期价回落，但也暂不宜过分悲观，因今年新生仔猪数量底部出现在3-4月，对应生猪出栏量大致在9-10月。综上所述，我们转为中性观点，建议投资者前期近月合约多单离场后暂以观望为宜。</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鸡蛋而言，期价结构整体表现为近强远弱，近月更多受现货和基差支撑，而远月弱势主要源于两个方面，其一是供应恢复的预期，这可以从大小蛋价差处于历史高位得到印证，其二是饲料成本的下跌，在同等利润水平下鸡蛋现货绝对价格更低。从市场逻辑出发，主要关注这两个方面会否存在问题，后者即饲料成本目前看豆粕和玉米依然弱势，暂时无法证伪，但前者可能存在问题，今年年后以来现货整体表现强于预期，应该更多源于供应端的因素，这可能源于春节前后补栏积极性下降而淘汰积极性上升，因当时蛋鸡苗价格处于历史低位，而多家机构数据均显示去年底以来蛋鸡淘汰量同比大幅增加。而就当下而言，鸡蛋现货仍处于季节性旺季阶段，虽然市场预期悲观，但现货持续坚挺，虽绝对价格尚未超过往年同期，但对应的养殖利润已是历史同期最高水平，因此，我们基于现货基差支撑，仍相对看好近月合约。综上所述，我们维持谨慎看多观点，建议投资者持有旺季合约多单。</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8" w:name="_Toc5449"/>
      <w:r>
        <w:rPr>
          <w:rFonts w:hint="eastAsia" w:ascii="楷体" w:hAnsi="楷体" w:eastAsia="楷体"/>
          <w:b/>
          <w:bCs/>
          <w:color w:val="000000" w:themeColor="text1"/>
          <w14:textFill>
            <w14:solidFill>
              <w14:schemeClr w14:val="tx1"/>
            </w14:solidFill>
          </w14:textFill>
        </w:rPr>
        <w:t>白糖：震荡偏强</w:t>
      </w:r>
      <w:bookmarkEnd w:id="38"/>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巴西甘蔗田发生火灾，隔日外盘纽约原糖主力合约和伦敦白砂糖主力合约跳空暴涨，分别上涨3.42%和2.56%。巴西航运机构Williams发布的数据显示，截至8月21日当周，巴西港口等待装运食糖的船只数量为90艘，此前一周为94艘。港口等待装运的食糖数量为381.88万吨，此前一周为399.77万吨。在当周等待出口的食糖总量中，高等级原糖(VHP)数量为363.46万吨。国内隔日夜盘，白糖主力01合约上涨0.56%。白糖连续下跌后基差过大，或跟随外盘出现反弹。但进口增加预期叠加新季丰产预期，供应充沛，糖价反弹高度受限。</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9" w:name="_Toc6643"/>
      <w:r>
        <w:rPr>
          <w:rFonts w:hint="eastAsia" w:ascii="楷体" w:hAnsi="楷体" w:eastAsia="楷体"/>
          <w:b/>
          <w:bCs/>
          <w:color w:val="000000" w:themeColor="text1"/>
          <w14:textFill>
            <w14:solidFill>
              <w14:schemeClr w14:val="tx1"/>
            </w14:solidFill>
          </w14:textFill>
        </w:rPr>
        <w:t>棉花：预计郑棉震荡整理</w:t>
      </w:r>
      <w:bookmarkEnd w:id="39"/>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日外盘ICE美棉主力下跌0.73%，但仍在70美分/磅关口之上。美国农业部(USDA)在每周作物生长报告中公布称，截至2024年8月25日当周，美国棉花优良率为40%,前一周为42%,上年同期为33%。当周，美国棉花结铃率为89%,上一周为84%,上年同期为87%,五年均值为88%。当周，美国棉花盛铃率为25%,上一周为19%,上年同期为23%,五年均值为23%。国内隔日夜盘，郑棉主力2501主力合约下跌0.29%。随着金九的临近，纺织订单出现边际回暖。郑棉在长期下滑过程中大量利空释放，盘面也积累了大量空头获利资金。近期技术指标略有好转，空头止盈，叠加订单的边际回暖，2501主力合约震荡偏强。但进口棉花棉纱维持高位，新季丰产预期未改，反弹高度受限。</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0" w:name="_Toc6864"/>
      <w:r>
        <w:rPr>
          <w:rFonts w:hint="eastAsia" w:ascii="楷体" w:hAnsi="楷体" w:eastAsia="楷体"/>
          <w:b/>
          <w:bCs/>
          <w:color w:val="000000" w:themeColor="text1"/>
          <w14:textFill>
            <w14:solidFill>
              <w14:schemeClr w14:val="tx1"/>
            </w14:solidFill>
          </w14:textFill>
        </w:rPr>
        <w:t>蛋白粕：供需格局依旧，期价震荡难走出区间</w:t>
      </w:r>
      <w:bookmarkEnd w:id="40"/>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美豆上涨0.82%，国内夜盘豆二上涨1.36%，豆粕上涨0.82%，菜籽下跌0.46%，菜粕上涨1.10%。主要是受油脂类提振，而自身供需依旧未见好转。据Mysteel公布数据，2024年第34周，全国主要油厂大豆及豆粕库存上升未执行合同下降。其中大豆库存721.93万吨，较上周增加17.18万吨，增幅2.44%，同比去年增加144.03万吨，增幅24.92%；豆粕库存149.86万吨，较上周增加0.21万吨，增幅0.14%，同比去年增加78.58万吨，增幅110.24%。而豆粕表观消费量为161.57万吨，较上周增加4.25万吨，增幅</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2.70%，同比去年增加2.91万吨，增幅1.83%，增幅远不及油料累积。粕类自身供需相对偏弱，预计偏弱运行，可逢高抛空。</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1" w:name="_Toc14746"/>
      <w:r>
        <w:rPr>
          <w:rFonts w:hint="eastAsia" w:ascii="楷体" w:hAnsi="楷体" w:eastAsia="楷体"/>
          <w:b/>
          <w:bCs/>
          <w:color w:val="000000" w:themeColor="text1"/>
          <w14:textFill>
            <w14:solidFill>
              <w14:schemeClr w14:val="tx1"/>
            </w14:solidFill>
          </w14:textFill>
        </w:rPr>
        <w:t>油脂类：库存环比小降，棕榈油强势带动油脂价格</w:t>
      </w:r>
      <w:bookmarkEnd w:id="41"/>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夜盘豆油上涨1.12%，菜油上涨1.67%，棕榈油上涨1.26%，油脂表现偏强。据Mysteel调研显示，截至2024年8月23日(第34周)，全国重点地区豆油、棕榈油、菜油三大油脂商业库存总量为211.783万吨，较上周减少0.267万吨，减幅0.13%;同比2023年第34周三大油脂商业库存207.69万吨增加4.09万吨，增幅1.97%。印尼实行B40政策，即将棕榈基生物柴油强制掺混比例从目前的35%提高到40%。分析师估计明年印尼国内棕榈油用量将提高到1500万吨，导致出口供应降低，有助于提振马来西亚棕榈油的出口需求。从各家机构对8月马棕油前20日产量预估来看，明显低于往年同期水平，这使得马棕油获得支撑。但目前棕榈油价格已破前高，上方空间谨慎看待，建议逢低布多。</w:t>
      </w:r>
    </w:p>
    <w:p>
      <w:pPr>
        <w:pStyle w:val="93"/>
        <w:spacing w:before="0" w:beforeAutospacing="0" w:after="60" w:afterAutospacing="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42" w:name="_Toc20299"/>
      <w:r>
        <w:rPr>
          <w:rFonts w:hint="eastAsia" w:ascii="Times New Roman" w:hAnsi="Times New Roman" w:eastAsia="楷体"/>
          <w:b/>
          <w:color w:val="823C0B"/>
          <w:sz w:val="30"/>
          <w:szCs w:val="30"/>
        </w:rPr>
        <w:t>[指数]</w:t>
      </w:r>
      <w:bookmarkEnd w:id="42"/>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3" w:name="_Toc30072"/>
      <w:r>
        <w:rPr>
          <w:rFonts w:hint="eastAsia" w:ascii="Times New Roman" w:hAnsi="Times New Roman" w:eastAsia="楷体"/>
          <w:b/>
          <w:color w:val="000000" w:themeColor="text1"/>
          <w:sz w:val="24"/>
          <w:szCs w:val="24"/>
          <w14:textFill>
            <w14:solidFill>
              <w14:schemeClr w14:val="tx1"/>
            </w14:solidFill>
          </w14:textFill>
        </w:rPr>
        <w:t>集运指数（欧线）：关注地缘冲突后续动向，期价上涨</w:t>
      </w:r>
      <w:bookmarkEnd w:id="43"/>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11合约涨3.05%至2744.4。8月19日，SCFIS欧线指数为5918.73点，与上期相比跌2.34%。8月23日，上海港出口至欧洲基本港市场运价（海运及海运附加费）为4400美元/TEU，较上期下跌4.6%。欧洲经济前景并不乐观，欧线现货运价维持跌势，需求季节性转弱；另一方面，上周末黎以爆发新一轮冲突，消息面因素对盘面带来冲击。后续关注地缘冲突后续动向，期价波动或加剧，留意短期风险，建议投资者谨慎操作。</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4" w:name="_Toc72481108"/>
      <w:bookmarkStart w:id="45" w:name="_Toc12779"/>
      <w:bookmarkStart w:id="46" w:name="_Toc19667"/>
      <w:bookmarkStart w:id="47" w:name="_Toc71212556"/>
      <w:bookmarkStart w:id="48" w:name="_Toc98426751"/>
      <w:r>
        <w:rPr>
          <w:rFonts w:ascii="Times New Roman" w:hAnsi="Times New Roman" w:eastAsia="楷体"/>
          <w:b/>
          <w:color w:val="411D05"/>
          <w:sz w:val="30"/>
          <w:szCs w:val="30"/>
        </w:rPr>
        <w:t>免责声明</w:t>
      </w:r>
      <w:bookmarkEnd w:id="44"/>
      <w:bookmarkEnd w:id="45"/>
      <w:bookmarkEnd w:id="46"/>
      <w:bookmarkEnd w:id="47"/>
      <w:bookmarkEnd w:id="48"/>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2024年8月27日星期二</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5EB"/>
    <w:rsid w:val="00CB2FD2"/>
    <w:rsid w:val="00CB3015"/>
    <w:rsid w:val="00CB60E6"/>
    <w:rsid w:val="00CB657C"/>
    <w:rsid w:val="00CC03C4"/>
    <w:rsid w:val="00CC3E40"/>
    <w:rsid w:val="00CC3FFA"/>
    <w:rsid w:val="00CC6C03"/>
    <w:rsid w:val="00CD17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375C3E"/>
    <w:rsid w:val="01954D8D"/>
    <w:rsid w:val="02E32A5D"/>
    <w:rsid w:val="035D5749"/>
    <w:rsid w:val="03A507DC"/>
    <w:rsid w:val="04C17862"/>
    <w:rsid w:val="04E41B77"/>
    <w:rsid w:val="057D13AE"/>
    <w:rsid w:val="064116B8"/>
    <w:rsid w:val="064A667C"/>
    <w:rsid w:val="06B2613D"/>
    <w:rsid w:val="06B753E3"/>
    <w:rsid w:val="07321D04"/>
    <w:rsid w:val="08A51999"/>
    <w:rsid w:val="09B849A4"/>
    <w:rsid w:val="09F160E3"/>
    <w:rsid w:val="0A9E0927"/>
    <w:rsid w:val="0AC64130"/>
    <w:rsid w:val="0B42525D"/>
    <w:rsid w:val="0BF11AD7"/>
    <w:rsid w:val="0C1F7DEE"/>
    <w:rsid w:val="0C88769D"/>
    <w:rsid w:val="0CDE660D"/>
    <w:rsid w:val="0D032A7C"/>
    <w:rsid w:val="0DB77106"/>
    <w:rsid w:val="0DCE2D64"/>
    <w:rsid w:val="0E955A36"/>
    <w:rsid w:val="0F662138"/>
    <w:rsid w:val="0F9B0CE9"/>
    <w:rsid w:val="0FF35275"/>
    <w:rsid w:val="100732C8"/>
    <w:rsid w:val="10DA6205"/>
    <w:rsid w:val="10E86139"/>
    <w:rsid w:val="111441F0"/>
    <w:rsid w:val="113D3FD2"/>
    <w:rsid w:val="121F7D21"/>
    <w:rsid w:val="129B2E20"/>
    <w:rsid w:val="12AA5DF8"/>
    <w:rsid w:val="12C54559"/>
    <w:rsid w:val="12CB3DD7"/>
    <w:rsid w:val="132A04C1"/>
    <w:rsid w:val="1330029C"/>
    <w:rsid w:val="134E6356"/>
    <w:rsid w:val="13AE24B4"/>
    <w:rsid w:val="14D51A3C"/>
    <w:rsid w:val="15364A7C"/>
    <w:rsid w:val="15602ADB"/>
    <w:rsid w:val="15947E4C"/>
    <w:rsid w:val="15D52593"/>
    <w:rsid w:val="1626611D"/>
    <w:rsid w:val="16E2497F"/>
    <w:rsid w:val="17A736B0"/>
    <w:rsid w:val="18A2004D"/>
    <w:rsid w:val="19415809"/>
    <w:rsid w:val="197E6634"/>
    <w:rsid w:val="1B7329E7"/>
    <w:rsid w:val="1B8A2034"/>
    <w:rsid w:val="1BB46C31"/>
    <w:rsid w:val="1BC72FF7"/>
    <w:rsid w:val="1D03226A"/>
    <w:rsid w:val="1D5030CD"/>
    <w:rsid w:val="1D876087"/>
    <w:rsid w:val="1DFF64E4"/>
    <w:rsid w:val="1ECB51CD"/>
    <w:rsid w:val="1F515CF1"/>
    <w:rsid w:val="1FBD6B68"/>
    <w:rsid w:val="1FDC1B35"/>
    <w:rsid w:val="1FDD0CDB"/>
    <w:rsid w:val="2056595D"/>
    <w:rsid w:val="207554B7"/>
    <w:rsid w:val="20AE4DE8"/>
    <w:rsid w:val="21194658"/>
    <w:rsid w:val="216834DE"/>
    <w:rsid w:val="21996AC1"/>
    <w:rsid w:val="219F3EE2"/>
    <w:rsid w:val="21F57098"/>
    <w:rsid w:val="22BA3902"/>
    <w:rsid w:val="22BB5089"/>
    <w:rsid w:val="22EF0361"/>
    <w:rsid w:val="233407F6"/>
    <w:rsid w:val="23D146B7"/>
    <w:rsid w:val="240817CF"/>
    <w:rsid w:val="24321B2E"/>
    <w:rsid w:val="244B21DE"/>
    <w:rsid w:val="245C7DFE"/>
    <w:rsid w:val="247F3074"/>
    <w:rsid w:val="24B82D9D"/>
    <w:rsid w:val="251328EC"/>
    <w:rsid w:val="254016F5"/>
    <w:rsid w:val="258A2E5C"/>
    <w:rsid w:val="25B924F3"/>
    <w:rsid w:val="25E06B30"/>
    <w:rsid w:val="268419CF"/>
    <w:rsid w:val="26AC2D80"/>
    <w:rsid w:val="26F95364"/>
    <w:rsid w:val="293961B5"/>
    <w:rsid w:val="29A303B9"/>
    <w:rsid w:val="2B9C319C"/>
    <w:rsid w:val="2C1D776C"/>
    <w:rsid w:val="2C453820"/>
    <w:rsid w:val="2C527F9F"/>
    <w:rsid w:val="2C6C12B9"/>
    <w:rsid w:val="2CA93C52"/>
    <w:rsid w:val="2D912E3A"/>
    <w:rsid w:val="2DC02C2B"/>
    <w:rsid w:val="2DE440F7"/>
    <w:rsid w:val="2E6F25DB"/>
    <w:rsid w:val="2E805E2F"/>
    <w:rsid w:val="2F412AB7"/>
    <w:rsid w:val="2FA14A50"/>
    <w:rsid w:val="2FA70F17"/>
    <w:rsid w:val="30CB447B"/>
    <w:rsid w:val="3115573F"/>
    <w:rsid w:val="32951C0D"/>
    <w:rsid w:val="32F131F1"/>
    <w:rsid w:val="33CE5AF4"/>
    <w:rsid w:val="33D72F2D"/>
    <w:rsid w:val="340E7198"/>
    <w:rsid w:val="34A75784"/>
    <w:rsid w:val="3581551C"/>
    <w:rsid w:val="35947F79"/>
    <w:rsid w:val="35D65FDD"/>
    <w:rsid w:val="36C14F46"/>
    <w:rsid w:val="36C44D71"/>
    <w:rsid w:val="373F75CC"/>
    <w:rsid w:val="37C101D4"/>
    <w:rsid w:val="38F320AA"/>
    <w:rsid w:val="38FB27F3"/>
    <w:rsid w:val="39584559"/>
    <w:rsid w:val="399D40A5"/>
    <w:rsid w:val="39E5435C"/>
    <w:rsid w:val="3A2F6D68"/>
    <w:rsid w:val="3AC9385E"/>
    <w:rsid w:val="3B3306F0"/>
    <w:rsid w:val="3B563B4D"/>
    <w:rsid w:val="3C2825B0"/>
    <w:rsid w:val="3C2B26B7"/>
    <w:rsid w:val="3C881F02"/>
    <w:rsid w:val="3CB420C3"/>
    <w:rsid w:val="3D8B796D"/>
    <w:rsid w:val="3DA80A30"/>
    <w:rsid w:val="3E643221"/>
    <w:rsid w:val="3EA032CC"/>
    <w:rsid w:val="3EC32453"/>
    <w:rsid w:val="3ECC520D"/>
    <w:rsid w:val="3EE0186C"/>
    <w:rsid w:val="3EEE419C"/>
    <w:rsid w:val="3EFE09FD"/>
    <w:rsid w:val="3F032E01"/>
    <w:rsid w:val="3F345DBE"/>
    <w:rsid w:val="40164730"/>
    <w:rsid w:val="40F15753"/>
    <w:rsid w:val="41F950F8"/>
    <w:rsid w:val="42EB3BA1"/>
    <w:rsid w:val="42F51780"/>
    <w:rsid w:val="43F11831"/>
    <w:rsid w:val="43F63E0D"/>
    <w:rsid w:val="44092E2E"/>
    <w:rsid w:val="441077D2"/>
    <w:rsid w:val="44396064"/>
    <w:rsid w:val="458C38B3"/>
    <w:rsid w:val="459609D9"/>
    <w:rsid w:val="45A37566"/>
    <w:rsid w:val="45CF0A85"/>
    <w:rsid w:val="46194A11"/>
    <w:rsid w:val="461E2AF1"/>
    <w:rsid w:val="47752ACA"/>
    <w:rsid w:val="47A71483"/>
    <w:rsid w:val="47C813F2"/>
    <w:rsid w:val="48352178"/>
    <w:rsid w:val="489B63EF"/>
    <w:rsid w:val="48D7317F"/>
    <w:rsid w:val="4953255E"/>
    <w:rsid w:val="49BF13F0"/>
    <w:rsid w:val="49D75468"/>
    <w:rsid w:val="49E169F0"/>
    <w:rsid w:val="4A4A74EF"/>
    <w:rsid w:val="4A6F6249"/>
    <w:rsid w:val="4AA77B51"/>
    <w:rsid w:val="4AB74C38"/>
    <w:rsid w:val="4B14426D"/>
    <w:rsid w:val="4B6224E5"/>
    <w:rsid w:val="4B8C4A56"/>
    <w:rsid w:val="4BAB6225"/>
    <w:rsid w:val="4BF97936"/>
    <w:rsid w:val="4C2C4D07"/>
    <w:rsid w:val="4C457E30"/>
    <w:rsid w:val="4CAC2FB1"/>
    <w:rsid w:val="4D2A3925"/>
    <w:rsid w:val="4D597189"/>
    <w:rsid w:val="4DB20386"/>
    <w:rsid w:val="4DF02D90"/>
    <w:rsid w:val="4E665CB5"/>
    <w:rsid w:val="4EB84B21"/>
    <w:rsid w:val="4F271764"/>
    <w:rsid w:val="4F7D0512"/>
    <w:rsid w:val="4FAF4829"/>
    <w:rsid w:val="4FBA2B77"/>
    <w:rsid w:val="4FD46E6F"/>
    <w:rsid w:val="5005695E"/>
    <w:rsid w:val="50286811"/>
    <w:rsid w:val="50700F42"/>
    <w:rsid w:val="50B838CE"/>
    <w:rsid w:val="50ED1DE1"/>
    <w:rsid w:val="51266B84"/>
    <w:rsid w:val="51642661"/>
    <w:rsid w:val="5191036A"/>
    <w:rsid w:val="52465DB8"/>
    <w:rsid w:val="52940E89"/>
    <w:rsid w:val="546B5509"/>
    <w:rsid w:val="548642E9"/>
    <w:rsid w:val="54A17941"/>
    <w:rsid w:val="54C12E33"/>
    <w:rsid w:val="55633225"/>
    <w:rsid w:val="556D6DC3"/>
    <w:rsid w:val="563B25E1"/>
    <w:rsid w:val="566A208A"/>
    <w:rsid w:val="56DD4D3A"/>
    <w:rsid w:val="57555A7B"/>
    <w:rsid w:val="5770382C"/>
    <w:rsid w:val="57846909"/>
    <w:rsid w:val="57CB522F"/>
    <w:rsid w:val="57F46FBE"/>
    <w:rsid w:val="58042686"/>
    <w:rsid w:val="58246D5D"/>
    <w:rsid w:val="58EC5960"/>
    <w:rsid w:val="58F400B4"/>
    <w:rsid w:val="59151C86"/>
    <w:rsid w:val="59732982"/>
    <w:rsid w:val="598F0769"/>
    <w:rsid w:val="59C52328"/>
    <w:rsid w:val="5AD37D8A"/>
    <w:rsid w:val="5AF87BF9"/>
    <w:rsid w:val="5B0F1B49"/>
    <w:rsid w:val="5B906095"/>
    <w:rsid w:val="5BC6560B"/>
    <w:rsid w:val="5BF60A75"/>
    <w:rsid w:val="5C813B75"/>
    <w:rsid w:val="5C9F2D01"/>
    <w:rsid w:val="5D3F3466"/>
    <w:rsid w:val="5D5617A6"/>
    <w:rsid w:val="5D716329"/>
    <w:rsid w:val="5EA23F15"/>
    <w:rsid w:val="5EA7685B"/>
    <w:rsid w:val="5ED40954"/>
    <w:rsid w:val="5EFA4E95"/>
    <w:rsid w:val="60BE22C5"/>
    <w:rsid w:val="612C30C5"/>
    <w:rsid w:val="619A2BBF"/>
    <w:rsid w:val="61DF02D0"/>
    <w:rsid w:val="61FB37A1"/>
    <w:rsid w:val="62710E5F"/>
    <w:rsid w:val="62AD0966"/>
    <w:rsid w:val="63735B47"/>
    <w:rsid w:val="63FF1EA7"/>
    <w:rsid w:val="64C32497"/>
    <w:rsid w:val="669D0EEA"/>
    <w:rsid w:val="66B64FC1"/>
    <w:rsid w:val="66C861F9"/>
    <w:rsid w:val="66D04BBC"/>
    <w:rsid w:val="67655BF9"/>
    <w:rsid w:val="678C3343"/>
    <w:rsid w:val="67C6389B"/>
    <w:rsid w:val="685D4EEE"/>
    <w:rsid w:val="68AE1587"/>
    <w:rsid w:val="68CC4906"/>
    <w:rsid w:val="68D53E8D"/>
    <w:rsid w:val="699C76C5"/>
    <w:rsid w:val="6A194855"/>
    <w:rsid w:val="6A2F056E"/>
    <w:rsid w:val="6B292599"/>
    <w:rsid w:val="6D9172E5"/>
    <w:rsid w:val="6DF1703F"/>
    <w:rsid w:val="6E133456"/>
    <w:rsid w:val="6ECB7DD2"/>
    <w:rsid w:val="6F123DD8"/>
    <w:rsid w:val="6F1E315D"/>
    <w:rsid w:val="6F2A3FC1"/>
    <w:rsid w:val="6F79454F"/>
    <w:rsid w:val="6FE61065"/>
    <w:rsid w:val="70675779"/>
    <w:rsid w:val="70C135EC"/>
    <w:rsid w:val="712C7DE8"/>
    <w:rsid w:val="713E0334"/>
    <w:rsid w:val="716F5E64"/>
    <w:rsid w:val="72417AFE"/>
    <w:rsid w:val="72585CB5"/>
    <w:rsid w:val="729B5F03"/>
    <w:rsid w:val="72D92B78"/>
    <w:rsid w:val="72F62A89"/>
    <w:rsid w:val="731B289D"/>
    <w:rsid w:val="736D22BA"/>
    <w:rsid w:val="737357AF"/>
    <w:rsid w:val="74163BE4"/>
    <w:rsid w:val="74A928A6"/>
    <w:rsid w:val="75292EAC"/>
    <w:rsid w:val="755A5FEF"/>
    <w:rsid w:val="75775016"/>
    <w:rsid w:val="758E0106"/>
    <w:rsid w:val="7626762C"/>
    <w:rsid w:val="763869A4"/>
    <w:rsid w:val="7667781E"/>
    <w:rsid w:val="76DD4C80"/>
    <w:rsid w:val="778F5135"/>
    <w:rsid w:val="77B53D6B"/>
    <w:rsid w:val="77D54B08"/>
    <w:rsid w:val="78431DDA"/>
    <w:rsid w:val="784F7772"/>
    <w:rsid w:val="785868AD"/>
    <w:rsid w:val="78713929"/>
    <w:rsid w:val="78E55995"/>
    <w:rsid w:val="79267C0B"/>
    <w:rsid w:val="793F61E8"/>
    <w:rsid w:val="79C90FB7"/>
    <w:rsid w:val="7A25684F"/>
    <w:rsid w:val="7A2847FC"/>
    <w:rsid w:val="7A4975BA"/>
    <w:rsid w:val="7A5B105F"/>
    <w:rsid w:val="7A9E5DA7"/>
    <w:rsid w:val="7ABE4B56"/>
    <w:rsid w:val="7B264F79"/>
    <w:rsid w:val="7B3E5659"/>
    <w:rsid w:val="7B471C9D"/>
    <w:rsid w:val="7B4D21AB"/>
    <w:rsid w:val="7BCC4162"/>
    <w:rsid w:val="7C490DB7"/>
    <w:rsid w:val="7C7E37F7"/>
    <w:rsid w:val="7CD80967"/>
    <w:rsid w:val="7D0C2828"/>
    <w:rsid w:val="7D902239"/>
    <w:rsid w:val="7EAF7817"/>
    <w:rsid w:val="7F4E30FB"/>
    <w:rsid w:val="7F78012E"/>
    <w:rsid w:val="7F7B591C"/>
    <w:rsid w:val="7FC51DE6"/>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6891</Words>
  <Characters>7327</Characters>
  <Lines>80</Lines>
  <Paragraphs>22</Paragraphs>
  <TotalTime>0</TotalTime>
  <ScaleCrop>false</ScaleCrop>
  <LinksUpToDate>false</LinksUpToDate>
  <CharactersWithSpaces>7427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2024-08-27T03:07:11Z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