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_Toc6745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_Toc8939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_Toc9639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_Toc7497 </w:instrText>
          </w:r>
          <w:r>
            <w:rPr>
              <w:bCs/>
            </w:rPr>
            <w:fldChar w:fldCharType="separate"/>
          </w:r>
          <w:r>
            <w:rPr>
              <w:rFonts w:hint="eastAsia" w:ascii="Times New Roman" w:hAnsi="Times New Roman" w:eastAsia="楷体"/>
              <w:szCs w:val="24"/>
            </w:rPr>
            <w:t>贵金属：美联储主席释放降息信号，贵金属价格上涨</w:t>
          </w:r>
          <w:r>
            <w:rPr>
              <w:bCs/>
            </w:rPr>
            <w:fldChar w:fldCharType="end"/>
          </w:r>
        </w:p>
        <w:p>
          <w:pPr>
            <w:pStyle w:val="59"/>
            <w:tabs>
              <w:tab w:val="right" w:leader="dot" w:pos="8306"/>
            </w:tabs>
          </w:pPr>
          <w:r>
            <w:rPr>
              <w:bCs/>
            </w:rPr>
            <w:fldChar w:fldCharType="begin"/>
          </w:r>
          <w:r>
            <w:rPr>
              <w:bCs/>
            </w:rPr>
            <w:instrText xml:space="preserve"> HYPERLINK \l _Toc30547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_Toc9492 </w:instrText>
          </w:r>
          <w:r>
            <w:rPr>
              <w:bCs/>
            </w:rPr>
            <w:fldChar w:fldCharType="separate"/>
          </w:r>
          <w:r>
            <w:rPr>
              <w:rFonts w:hint="eastAsia" w:ascii="楷体" w:hAnsi="楷体" w:eastAsia="楷体"/>
              <w:szCs w:val="24"/>
            </w:rPr>
            <w:t>碳酸锂：7月国内碳酸锂进口量环比上行，期价冲高回落</w:t>
          </w:r>
          <w:r>
            <w:rPr>
              <w:bCs/>
            </w:rPr>
            <w:fldChar w:fldCharType="end"/>
          </w:r>
        </w:p>
        <w:p>
          <w:pPr>
            <w:pStyle w:val="74"/>
            <w:tabs>
              <w:tab w:val="right" w:leader="dot" w:pos="8306"/>
            </w:tabs>
          </w:pPr>
          <w:r>
            <w:rPr>
              <w:bCs/>
            </w:rPr>
            <w:fldChar w:fldCharType="begin"/>
          </w:r>
          <w:r>
            <w:rPr>
              <w:bCs/>
            </w:rPr>
            <w:instrText xml:space="preserve"> HYPERLINK \l _Toc11298 </w:instrText>
          </w:r>
          <w:r>
            <w:rPr>
              <w:bCs/>
            </w:rPr>
            <w:fldChar w:fldCharType="separate"/>
          </w:r>
          <w:r>
            <w:rPr>
              <w:rFonts w:hint="eastAsia" w:ascii="楷体" w:hAnsi="楷体" w:eastAsia="楷体"/>
              <w:szCs w:val="24"/>
            </w:rPr>
            <w:t>铝：上方价格突破仍有压力，等待消费及宏观指引</w:t>
          </w:r>
          <w:r>
            <w:rPr>
              <w:bCs/>
            </w:rPr>
            <w:fldChar w:fldCharType="end"/>
          </w:r>
        </w:p>
        <w:p>
          <w:pPr>
            <w:pStyle w:val="74"/>
            <w:tabs>
              <w:tab w:val="right" w:leader="dot" w:pos="8306"/>
            </w:tabs>
          </w:pPr>
          <w:r>
            <w:rPr>
              <w:bCs/>
            </w:rPr>
            <w:fldChar w:fldCharType="begin"/>
          </w:r>
          <w:r>
            <w:rPr>
              <w:bCs/>
            </w:rPr>
            <w:instrText xml:space="preserve"> HYPERLINK \l _Toc23097 </w:instrText>
          </w:r>
          <w:r>
            <w:rPr>
              <w:bCs/>
            </w:rPr>
            <w:fldChar w:fldCharType="separate"/>
          </w:r>
          <w:r>
            <w:rPr>
              <w:rFonts w:hint="eastAsia" w:ascii="楷体" w:hAnsi="楷体" w:eastAsia="楷体"/>
              <w:szCs w:val="24"/>
            </w:rPr>
            <w:t>锌：多配思路为主，警惕宏观风险</w:t>
          </w:r>
          <w:r>
            <w:rPr>
              <w:bCs/>
            </w:rPr>
            <w:fldChar w:fldCharType="end"/>
          </w:r>
        </w:p>
        <w:p>
          <w:pPr>
            <w:pStyle w:val="74"/>
            <w:tabs>
              <w:tab w:val="right" w:leader="dot" w:pos="8306"/>
            </w:tabs>
          </w:pPr>
          <w:r>
            <w:rPr>
              <w:bCs/>
            </w:rPr>
            <w:fldChar w:fldCharType="begin"/>
          </w:r>
          <w:r>
            <w:rPr>
              <w:bCs/>
            </w:rPr>
            <w:instrText xml:space="preserve"> HYPERLINK \l _Toc27037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：短期保持偏多，高度谨慎</w:t>
          </w:r>
          <w:r>
            <w:rPr>
              <w:bCs/>
            </w:rPr>
            <w:fldChar w:fldCharType="end"/>
          </w:r>
        </w:p>
        <w:p>
          <w:pPr>
            <w:pStyle w:val="74"/>
            <w:tabs>
              <w:tab w:val="right" w:leader="dot" w:pos="8306"/>
            </w:tabs>
          </w:pPr>
          <w:r>
            <w:rPr>
              <w:bCs/>
            </w:rPr>
            <w:fldChar w:fldCharType="begin"/>
          </w:r>
          <w:r>
            <w:rPr>
              <w:bCs/>
            </w:rPr>
            <w:instrText xml:space="preserve"> HYPERLINK \l _Toc1060 </w:instrText>
          </w:r>
          <w:r>
            <w:rPr>
              <w:bCs/>
            </w:rPr>
            <w:fldChar w:fldCharType="separate"/>
          </w:r>
          <w:r>
            <w:rPr>
              <w:rFonts w:hint="eastAsia" w:ascii="楷体" w:hAnsi="楷体" w:eastAsia="楷体"/>
              <w:szCs w:val="24"/>
            </w:rPr>
            <w:t>镍：库存维持趋势性累库，反弹空间有限</w:t>
          </w:r>
          <w:r>
            <w:rPr>
              <w:bCs/>
            </w:rPr>
            <w:fldChar w:fldCharType="end"/>
          </w:r>
        </w:p>
        <w:p>
          <w:pPr>
            <w:pStyle w:val="74"/>
            <w:tabs>
              <w:tab w:val="right" w:leader="dot" w:pos="8306"/>
            </w:tabs>
          </w:pPr>
          <w:r>
            <w:rPr>
              <w:bCs/>
            </w:rPr>
            <w:fldChar w:fldCharType="begin"/>
          </w:r>
          <w:r>
            <w:rPr>
              <w:bCs/>
            </w:rPr>
            <w:instrText xml:space="preserve"> HYPERLINK \l _Toc22888 </w:instrText>
          </w:r>
          <w:r>
            <w:rPr>
              <w:bCs/>
            </w:rPr>
            <w:fldChar w:fldCharType="separate"/>
          </w:r>
          <w:r>
            <w:rPr>
              <w:rFonts w:hint="eastAsia" w:ascii="楷体" w:hAnsi="楷体" w:eastAsia="楷体"/>
              <w:szCs w:val="24"/>
            </w:rPr>
            <w:t>不锈钢：供需压力明显，维持震荡观点</w:t>
          </w:r>
          <w:r>
            <w:rPr>
              <w:bCs/>
            </w:rPr>
            <w:fldChar w:fldCharType="end"/>
          </w:r>
        </w:p>
        <w:p>
          <w:pPr>
            <w:pStyle w:val="74"/>
            <w:tabs>
              <w:tab w:val="right" w:leader="dot" w:pos="8306"/>
            </w:tabs>
          </w:pPr>
          <w:r>
            <w:rPr>
              <w:bCs/>
            </w:rPr>
            <w:fldChar w:fldCharType="begin"/>
          </w:r>
          <w:r>
            <w:rPr>
              <w:bCs/>
            </w:rPr>
            <w:instrText xml:space="preserve"> HYPERLINK \l _Toc11846 </w:instrText>
          </w:r>
          <w:r>
            <w:rPr>
              <w:bCs/>
            </w:rPr>
            <w:fldChar w:fldCharType="separate"/>
          </w:r>
          <w:r>
            <w:rPr>
              <w:rFonts w:hint="eastAsia" w:ascii="楷体" w:hAnsi="楷体" w:eastAsia="楷体"/>
              <w:szCs w:val="24"/>
            </w:rPr>
            <w:t>工业硅：无明显单边驱动，短期以震荡对待</w:t>
          </w:r>
          <w:r>
            <w:rPr>
              <w:bCs/>
            </w:rPr>
            <w:fldChar w:fldCharType="end"/>
          </w:r>
        </w:p>
        <w:p>
          <w:pPr>
            <w:pStyle w:val="59"/>
            <w:tabs>
              <w:tab w:val="right" w:leader="dot" w:pos="8306"/>
            </w:tabs>
          </w:pPr>
          <w:r>
            <w:rPr>
              <w:bCs/>
            </w:rPr>
            <w:fldChar w:fldCharType="begin"/>
          </w:r>
          <w:r>
            <w:rPr>
              <w:bCs/>
            </w:rPr>
            <w:instrText xml:space="preserve"> HYPERLINK \l _Toc10266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_Toc11777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成本节节高 天胶表现偏强</w:t>
          </w:r>
          <w:r>
            <w:rPr>
              <w:bCs/>
            </w:rPr>
            <w:fldChar w:fldCharType="end"/>
          </w:r>
        </w:p>
        <w:p>
          <w:pPr>
            <w:pStyle w:val="74"/>
            <w:tabs>
              <w:tab w:val="right" w:leader="dot" w:pos="8306"/>
            </w:tabs>
          </w:pPr>
          <w:r>
            <w:rPr>
              <w:bCs/>
            </w:rPr>
            <w:fldChar w:fldCharType="begin"/>
          </w:r>
          <w:r>
            <w:rPr>
              <w:bCs/>
            </w:rPr>
            <w:instrText xml:space="preserve"> HYPERLINK \l _Toc27671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_Toc1189 </w:instrText>
          </w:r>
          <w:r>
            <w:rPr>
              <w:bCs/>
            </w:rPr>
            <w:fldChar w:fldCharType="separate"/>
          </w:r>
          <w:r>
            <w:rPr>
              <w:rFonts w:hint="eastAsia" w:ascii="Times New Roman" w:hAnsi="Times New Roman" w:eastAsia="楷体"/>
              <w:szCs w:val="24"/>
            </w:rPr>
            <w:t>原油：油价震荡回调，供需基本面仍是关键</w:t>
          </w:r>
          <w:r>
            <w:rPr>
              <w:bCs/>
            </w:rPr>
            <w:fldChar w:fldCharType="end"/>
          </w:r>
        </w:p>
        <w:p>
          <w:pPr>
            <w:pStyle w:val="74"/>
            <w:tabs>
              <w:tab w:val="right" w:leader="dot" w:pos="8306"/>
            </w:tabs>
          </w:pPr>
          <w:r>
            <w:rPr>
              <w:bCs/>
            </w:rPr>
            <w:fldChar w:fldCharType="begin"/>
          </w:r>
          <w:r>
            <w:rPr>
              <w:bCs/>
            </w:rPr>
            <w:instrText xml:space="preserve"> HYPERLINK \l _Toc15356 </w:instrText>
          </w:r>
          <w:r>
            <w:rPr>
              <w:bCs/>
            </w:rPr>
            <w:fldChar w:fldCharType="separate"/>
          </w:r>
          <w:r>
            <w:rPr>
              <w:rFonts w:hint="eastAsia" w:ascii="Times New Roman" w:hAnsi="Times New Roman" w:eastAsia="楷体"/>
              <w:szCs w:val="24"/>
            </w:rPr>
            <w:t>燃料油及低硫燃料油：多空交织，市场分化明显</w:t>
          </w:r>
          <w:r>
            <w:rPr>
              <w:bCs/>
            </w:rPr>
            <w:fldChar w:fldCharType="end"/>
          </w:r>
        </w:p>
        <w:p>
          <w:pPr>
            <w:pStyle w:val="74"/>
            <w:tabs>
              <w:tab w:val="right" w:leader="dot" w:pos="8306"/>
            </w:tabs>
          </w:pPr>
          <w:r>
            <w:rPr>
              <w:bCs/>
            </w:rPr>
            <w:fldChar w:fldCharType="begin"/>
          </w:r>
          <w:r>
            <w:rPr>
              <w:bCs/>
            </w:rPr>
            <w:instrText xml:space="preserve"> HYPERLINK \l _Toc26276 </w:instrText>
          </w:r>
          <w:r>
            <w:rPr>
              <w:bCs/>
            </w:rPr>
            <w:fldChar w:fldCharType="separate"/>
          </w:r>
          <w:r>
            <w:rPr>
              <w:rFonts w:hint="eastAsia" w:ascii="Times New Roman" w:hAnsi="Times New Roman" w:eastAsia="楷体"/>
              <w:szCs w:val="24"/>
            </w:rPr>
            <w:t>沥青：多重压力叠加，弱势格局或将延续</w:t>
          </w:r>
          <w:r>
            <w:rPr>
              <w:bCs/>
            </w:rPr>
            <w:fldChar w:fldCharType="end"/>
          </w:r>
        </w:p>
        <w:p>
          <w:pPr>
            <w:pStyle w:val="74"/>
            <w:tabs>
              <w:tab w:val="right" w:leader="dot" w:pos="8306"/>
            </w:tabs>
          </w:pPr>
          <w:r>
            <w:rPr>
              <w:bCs/>
            </w:rPr>
            <w:fldChar w:fldCharType="begin"/>
          </w:r>
          <w:r>
            <w:rPr>
              <w:bCs/>
            </w:rPr>
            <w:instrText xml:space="preserve"> HYPERLINK \l _Toc14743 </w:instrText>
          </w:r>
          <w:r>
            <w:rPr>
              <w:bCs/>
            </w:rPr>
            <w:fldChar w:fldCharType="separate"/>
          </w:r>
          <w:r>
            <w:rPr>
              <w:rFonts w:hint="eastAsia" w:ascii="Times New Roman" w:hAnsi="Times New Roman" w:eastAsia="楷体"/>
              <w:szCs w:val="24"/>
            </w:rPr>
            <w:t>PTA：后市仍存累库压力 价格持续改善空间受限</w:t>
          </w:r>
          <w:r>
            <w:rPr>
              <w:bCs/>
            </w:rPr>
            <w:fldChar w:fldCharType="end"/>
          </w:r>
        </w:p>
        <w:p>
          <w:pPr>
            <w:pStyle w:val="74"/>
            <w:tabs>
              <w:tab w:val="right" w:leader="dot" w:pos="8306"/>
            </w:tabs>
          </w:pPr>
          <w:r>
            <w:rPr>
              <w:bCs/>
            </w:rPr>
            <w:fldChar w:fldCharType="begin"/>
          </w:r>
          <w:r>
            <w:rPr>
              <w:bCs/>
            </w:rPr>
            <w:instrText xml:space="preserve"> HYPERLINK \l _Toc14637 </w:instrText>
          </w:r>
          <w:r>
            <w:rPr>
              <w:bCs/>
            </w:rPr>
            <w:fldChar w:fldCharType="separate"/>
          </w:r>
          <w:r>
            <w:rPr>
              <w:rFonts w:hint="eastAsia" w:ascii="Times New Roman" w:hAnsi="Times New Roman" w:eastAsia="楷体"/>
              <w:szCs w:val="24"/>
            </w:rPr>
            <w:t>乙二醇：下游聚酯需求小幅改善 乙二醇或维持震荡走势</w:t>
          </w:r>
          <w:r>
            <w:rPr>
              <w:bCs/>
            </w:rPr>
            <w:fldChar w:fldCharType="end"/>
          </w:r>
        </w:p>
        <w:p>
          <w:pPr>
            <w:pStyle w:val="59"/>
            <w:tabs>
              <w:tab w:val="right" w:leader="dot" w:pos="8306"/>
            </w:tabs>
          </w:pPr>
          <w:r>
            <w:rPr>
              <w:bCs/>
            </w:rPr>
            <w:fldChar w:fldCharType="begin"/>
          </w:r>
          <w:r>
            <w:rPr>
              <w:bCs/>
            </w:rPr>
            <w:instrText xml:space="preserve"> HYPERLINK \l _Toc15753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_Toc8650 </w:instrText>
          </w:r>
          <w:r>
            <w:rPr>
              <w:bCs/>
            </w:rPr>
            <w:fldChar w:fldCharType="separate"/>
          </w:r>
          <w:r>
            <w:rPr>
              <w:rFonts w:hint="eastAsia" w:ascii="楷体" w:hAnsi="楷体" w:eastAsia="楷体"/>
              <w:bCs/>
            </w:rPr>
            <w:t>玉米与淀粉：</w:t>
          </w:r>
          <w:r>
            <w:rPr>
              <w:rFonts w:hint="eastAsia" w:ascii="楷体" w:hAnsi="楷体" w:eastAsia="楷体"/>
            </w:rPr>
            <w:t>期价持续反弹</w:t>
          </w:r>
          <w:r>
            <w:rPr>
              <w:bCs/>
            </w:rPr>
            <w:fldChar w:fldCharType="end"/>
          </w:r>
        </w:p>
        <w:p>
          <w:pPr>
            <w:pStyle w:val="74"/>
            <w:tabs>
              <w:tab w:val="right" w:leader="dot" w:pos="8306"/>
            </w:tabs>
          </w:pPr>
          <w:r>
            <w:rPr>
              <w:bCs/>
            </w:rPr>
            <w:fldChar w:fldCharType="begin"/>
          </w:r>
          <w:r>
            <w:rPr>
              <w:bCs/>
            </w:rPr>
            <w:instrText xml:space="preserve"> HYPERLINK \l _Toc28925 </w:instrText>
          </w:r>
          <w:r>
            <w:rPr>
              <w:bCs/>
            </w:rPr>
            <w:fldChar w:fldCharType="separate"/>
          </w:r>
          <w:r>
            <w:rPr>
              <w:rFonts w:hint="eastAsia" w:ascii="楷体" w:hAnsi="楷体" w:eastAsia="楷体"/>
              <w:bCs/>
            </w:rPr>
            <w:t>畜禽养殖：生猪期价转为近弱远强</w:t>
          </w:r>
          <w:r>
            <w:rPr>
              <w:bCs/>
            </w:rPr>
            <w:fldChar w:fldCharType="end"/>
          </w:r>
        </w:p>
        <w:p>
          <w:pPr>
            <w:pStyle w:val="74"/>
            <w:tabs>
              <w:tab w:val="right" w:leader="dot" w:pos="8306"/>
            </w:tabs>
          </w:pPr>
          <w:r>
            <w:rPr>
              <w:bCs/>
            </w:rPr>
            <w:fldChar w:fldCharType="begin"/>
          </w:r>
          <w:r>
            <w:rPr>
              <w:bCs/>
            </w:rPr>
            <w:instrText xml:space="preserve"> HYPERLINK \l _Toc24497 </w:instrText>
          </w:r>
          <w:r>
            <w:rPr>
              <w:bCs/>
            </w:rPr>
            <w:fldChar w:fldCharType="separate"/>
          </w:r>
          <w:r>
            <w:rPr>
              <w:rFonts w:hint="eastAsia" w:ascii="楷体" w:hAnsi="楷体" w:eastAsia="楷体"/>
              <w:bCs/>
            </w:rPr>
            <w:t>白糖：震荡整理</w:t>
          </w:r>
          <w:r>
            <w:rPr>
              <w:bCs/>
            </w:rPr>
            <w:fldChar w:fldCharType="end"/>
          </w:r>
        </w:p>
        <w:p>
          <w:pPr>
            <w:pStyle w:val="74"/>
            <w:tabs>
              <w:tab w:val="right" w:leader="dot" w:pos="8306"/>
            </w:tabs>
          </w:pPr>
          <w:r>
            <w:rPr>
              <w:bCs/>
            </w:rPr>
            <w:fldChar w:fldCharType="begin"/>
          </w:r>
          <w:r>
            <w:rPr>
              <w:bCs/>
            </w:rPr>
            <w:instrText xml:space="preserve"> HYPERLINK \l _Toc19998 </w:instrText>
          </w:r>
          <w:r>
            <w:rPr>
              <w:bCs/>
            </w:rPr>
            <w:fldChar w:fldCharType="separate"/>
          </w:r>
          <w:r>
            <w:rPr>
              <w:rFonts w:hint="eastAsia" w:ascii="楷体" w:hAnsi="楷体" w:eastAsia="楷体"/>
              <w:bCs/>
            </w:rPr>
            <w:t>棉花：预计郑棉震荡整理</w:t>
          </w:r>
          <w:r>
            <w:rPr>
              <w:bCs/>
            </w:rPr>
            <w:fldChar w:fldCharType="end"/>
          </w:r>
        </w:p>
        <w:p>
          <w:pPr>
            <w:pStyle w:val="74"/>
            <w:tabs>
              <w:tab w:val="right" w:leader="dot" w:pos="8306"/>
            </w:tabs>
          </w:pPr>
          <w:r>
            <w:rPr>
              <w:bCs/>
            </w:rPr>
            <w:fldChar w:fldCharType="begin"/>
          </w:r>
          <w:r>
            <w:rPr>
              <w:bCs/>
            </w:rPr>
            <w:instrText xml:space="preserve"> HYPERLINK \l _Toc9452 </w:instrText>
          </w:r>
          <w:r>
            <w:rPr>
              <w:bCs/>
            </w:rPr>
            <w:fldChar w:fldCharType="separate"/>
          </w:r>
          <w:r>
            <w:rPr>
              <w:rFonts w:hint="eastAsia" w:ascii="楷体" w:hAnsi="楷体" w:eastAsia="楷体"/>
              <w:bCs/>
            </w:rPr>
            <w:t>蛋白粕：成本端利好不明显，自身供需偏弱</w:t>
          </w:r>
          <w:r>
            <w:rPr>
              <w:bCs/>
            </w:rPr>
            <w:fldChar w:fldCharType="end"/>
          </w:r>
        </w:p>
        <w:p>
          <w:pPr>
            <w:pStyle w:val="74"/>
            <w:tabs>
              <w:tab w:val="right" w:leader="dot" w:pos="8306"/>
            </w:tabs>
          </w:pPr>
          <w:r>
            <w:rPr>
              <w:bCs/>
            </w:rPr>
            <w:fldChar w:fldCharType="begin"/>
          </w:r>
          <w:r>
            <w:rPr>
              <w:bCs/>
            </w:rPr>
            <w:instrText xml:space="preserve"> HYPERLINK \l _Toc1327 </w:instrText>
          </w:r>
          <w:r>
            <w:rPr>
              <w:bCs/>
            </w:rPr>
            <w:fldChar w:fldCharType="separate"/>
          </w:r>
          <w:r>
            <w:rPr>
              <w:rFonts w:hint="eastAsia" w:ascii="楷体" w:hAnsi="楷体" w:eastAsia="楷体"/>
              <w:bCs/>
            </w:rPr>
            <w:t>油脂类：海外棕油因政策限制及产量减少而有所支撑，豆菜跟随</w:t>
          </w:r>
          <w:r>
            <w:rPr>
              <w:bCs/>
            </w:rPr>
            <w:fldChar w:fldCharType="end"/>
          </w:r>
        </w:p>
        <w:p>
          <w:pPr>
            <w:pStyle w:val="59"/>
            <w:tabs>
              <w:tab w:val="right" w:leader="dot" w:pos="8306"/>
            </w:tabs>
          </w:pPr>
          <w:r>
            <w:rPr>
              <w:bCs/>
            </w:rPr>
            <w:fldChar w:fldCharType="begin"/>
          </w:r>
          <w:r>
            <w:rPr>
              <w:bCs/>
            </w:rPr>
            <w:instrText xml:space="preserve"> HYPERLINK \l _Toc5516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_Toc29556 </w:instrText>
          </w:r>
          <w:r>
            <w:rPr>
              <w:bCs/>
            </w:rPr>
            <w:fldChar w:fldCharType="separate"/>
          </w:r>
          <w:r>
            <w:rPr>
              <w:rFonts w:hint="eastAsia" w:ascii="Times New Roman" w:hAnsi="Times New Roman" w:eastAsia="楷体"/>
              <w:szCs w:val="24"/>
            </w:rPr>
            <w:t>集运指数（欧线）：欧元区制造业PMI略低于预期，期价小幅下跌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674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8939"/>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A股受困于市场买盘单一，影响局部上攻持续性，首要关注能否温和放量上行，7月经济金融数据反映实体经济信心尚未扭转，内需偏弱的环境仍未改观， 8月中下旬中报密集披露，需再次规避微盘和绩差股的风险发酵。后续转折的关键，一是政策的落地及效果的乐观外推，在海外宽货币背景下，需观察国内宽货币的跟进力度，国内宽财政执行改善及效果的乐观预期发酵，再者则是海外不确定性的减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963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7497"/>
      <w:r>
        <w:rPr>
          <w:rFonts w:hint="eastAsia" w:ascii="Times New Roman" w:hAnsi="Times New Roman" w:eastAsia="楷体"/>
          <w:b/>
          <w:color w:val="000000" w:themeColor="text1"/>
          <w:sz w:val="24"/>
          <w:szCs w:val="24"/>
          <w14:textFill>
            <w14:solidFill>
              <w14:schemeClr w14:val="tx1"/>
            </w14:solidFill>
          </w14:textFill>
        </w:rPr>
        <w:t>贵金属：美联储主席释放降息信号，贵金属价格上涨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上周五夜盘涨0.50%至573.90元/克，上周累计上涨1.20%；沪银上周五夜盘涨1.98%至7606元/千克，上周累计上涨4.58%。美联储主席鲍威尔表示，政策调整的时机已经到来，对通胀降至2%的信心已经增强；将尽一切努力支持强劲的劳动力市场，同时在实现价格稳定方面取得进一步进展。美国8月Markit制造业PMI初值48，创8个月新低，低于预期值和前值的49.6。美国8月Markit服务业PMI初值55.2，创2个月新高，预期值54，前值55。美国8月Markit综合PMI初值54.1，创4个月新低但好于预期值的53.5，前值54.3。上周非农数据初步下修，或使得海外市场对于美国就业增长预期下调；另一方面，较弱的就业表现或为美联储降息提供数据支撑。美联储主席讲话释放降息信号，后续9月会议降息落地或支撑贵金属价格上行，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3054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949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碳酸锂：7月国内碳酸锂进口量环比上行，期价冲高回落</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期价冲高回落，自71700元/吨的低位反弹至周三盘中的78800元/吨，随后转跌，周五11合约跌3.99%至73350元/吨，周内累计微涨0.14%。7月国内碳酸锂进口量约2.42万吨，环比增23%，进口均价11042美元/吨。其中从智利进口碳酸锂约19158吨，环比增22%，占比79%；从阿根廷进口约4727吨，环比增38%，占比20%。碳酸锂最新周度产量小幅下降，矿石提锂企业开工略微下行、仍面临成本倒挂的压力，生产利润多数亏损；盐湖提锂成本优势明显，近期气温适宜生产，产量维持高峰。锂矿供应基本持平，矿石提锂生产企业减产增多。碳酸锂周度库存略微上升，其中上游累库，下游以及贸易商等中游环节去库。临近旺季备库以及海外储能订单增长共同推动需求增长，下游需求回升但未扭转供需格局，库存仍处于高位，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129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上方价格突破仍有压力，等待消费及宏观指引</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新增就业数据大幅下修，欧元区PMI公布数据仍在收缩区间，全球经济衰退交易逻辑仍未结束，9月美联储如期降息25BP为大概率事件，短期对市场情绪或有所提振。7月铝土矿进口增量明显，进入8月几内亚、澳洲铝土矿出港量明显减少，国内矿产供应有限，部分前期氧化铝高产产能进入检修，市场内氧化铝现货稀缺，电解铝成本支撑较强，电解铝中游冶炼开产积极，供应高位，交易所库存累积，社库小幅去化，进入传统消费旺季前下游备货情绪提振，实际旺季对需求的刺激效应仍待证伪。铝价近期快速上涨，上方20000一线仍有突破压力，等待消费变化及宏观指引。</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3097"/>
      <w:r>
        <w:rPr>
          <w:rFonts w:hint="eastAsia" w:ascii="楷体" w:hAnsi="楷体" w:eastAsia="楷体"/>
          <w:b/>
          <w:color w:val="000000" w:themeColor="text1"/>
          <w:sz w:val="24"/>
          <w:szCs w:val="24"/>
          <w14:textFill>
            <w14:solidFill>
              <w14:schemeClr w14:val="tx1"/>
            </w14:solidFill>
          </w14:textFill>
        </w:rPr>
        <w:t>锌：多配思路为主，警惕宏观风险</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经济数据表现疲软，全球经济衰退交易逻辑未止，美联储官员发言偏鸽派，9月大概率进入降息周期，预测降25BP，近期市场悲观情绪略有修复，持续警惕宏观反复。锌矿TC费率低迷，厂内原料可用库存保持低位，海外进口矿部分补充但依旧紧张，中游冶炼厂在生产利润亏损压力下部分厂家主动减产检修，精炼锌产量下降明显，8月21日中国锌企业会议就提升冶炼产能治理能力达成共识，年度生产计划预期调整近百万吨金属生产，进口锌少量补充，交易所库存+社会库存保持去库态势，下游加工消费依旧疲弱但临近旺季有转好预期，金九银十旺季效应等待证伪。短期依旧维持多配思路。</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7037"/>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：短期保持偏多，高度谨慎</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(1)库存：8月23日，SHFE仓单库存144371吨，日减4219吨；SHFE周库存251062，较上周五减11144吨；LME仓单库存315575吨，日减4125吨。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(2)精废价差：8月23日，Mysteel精废价差1396，收窄327。目前价差在合理价差1434之下。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联储主席鲍威尔在全球央行年会表态整体偏鸽派，短期市场或再次交易降息预期，美元指数继续走弱，提振整体有色金属。基本面，国内库存继续去化及传统旺季需求预期支撑价格，但LME库存大幅累增后谨防进口铜流入冲击。短期铜价维持偏多运行，考虑到全球经济仍有走弱压力，铜价上行高度需谨慎，价格主波动区间参考7.3-7.6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060"/>
      <w:r>
        <w:rPr>
          <w:rFonts w:hint="eastAsia" w:ascii="楷体" w:hAnsi="楷体" w:eastAsia="楷体"/>
          <w:b/>
          <w:color w:val="000000" w:themeColor="text1"/>
          <w:sz w:val="24"/>
          <w:szCs w:val="24"/>
          <w14:textFill>
            <w14:solidFill>
              <w14:schemeClr w14:val="tx1"/>
            </w14:solidFill>
          </w14:textFill>
        </w:rPr>
        <w:t>镍：库存维持趋势性累库，反弹空间有限</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主席鲍威尔在央行年会上发言偏鸽，给予明确转入降息周期指引，短期内或对有色板块有一定情绪提振。镍矿方面，印尼镍矿供应仍受到天气干扰，向菲律宾进口镍矿数量继续上升，上周印尼镍矿内贸价格+22美元/湿吨。硫酸镍方面，中间品价格企稳带来成本支撑，而受困于库存高企，新能源汽车需求边际回暖难以传导至硫酸镍，硫酸镍价格上下波动有限。据Mysteel数据，高冰镍一体化生产精炼镍成本为12.87万元/吨。供需方面，现货成交氛围未有起色，海内外库存维持趋势性累库。综合而言，在自身基本面驱动不足情况下，短期镍价主要受宏观驱动，美联储降息预期升温或提振市场情绪，但精炼镍显著过剩格局使镍价反弹空间始终有限，沪镍主力合约运行区间可参考127000-134000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2888"/>
      <w:r>
        <w:rPr>
          <w:rFonts w:hint="eastAsia" w:ascii="楷体" w:hAnsi="楷体" w:eastAsia="楷体"/>
          <w:b/>
          <w:color w:val="000000" w:themeColor="text1"/>
          <w:sz w:val="24"/>
          <w:szCs w:val="24"/>
          <w14:textFill>
            <w14:solidFill>
              <w14:schemeClr w14:val="tx1"/>
            </w14:solidFill>
          </w14:textFill>
        </w:rPr>
        <w:t>不锈钢：供需压力明显，维持震荡观点</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维持供应紧张格局，上周印尼镍矿内贸价格+22美元/湿吨。镍铁方面，需求负反馈使近日镍铁价格下调至1000元/镍附近，但考虑到镍矿成本坚挺、镍铁供需健康，预计镍铁价格持稳为主。铬铁方面，青山9月高碳铬铁钢招价下调200元/50基吨。供需方面，临近金九银十传统旺季，下游成交氛围整体仍以刚需采购为主，不锈钢厂存在减产可能。综合而言，虽美联储降息预期升温，但当前不锈钢市场供需压力明显，库存消化能力缓慢，期价有效反弹需要看到需求恢复或减产启动，而由于印尼矿端偏紧，难以对原料价格形成明显的负反馈，期价下方空间有限，预计13500-14300区间震荡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184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无明显单边驱动，短期以震荡对待</w:t>
      </w:r>
      <w:bookmarkEnd w:id="25"/>
    </w:p>
    <w:p>
      <w:pPr>
        <w:ind w:left="630" w:leftChars="300"/>
        <w:rPr>
          <w:rFonts w:ascii="楷体" w:hAnsi="楷体" w:eastAsia="楷体"/>
          <w:sz w:val="24"/>
          <w:szCs w:val="24"/>
        </w:rPr>
      </w:pPr>
      <w:r>
        <w:rPr>
          <w:rFonts w:hint="eastAsia" w:ascii="楷体" w:hAnsi="楷体" w:eastAsia="楷体"/>
          <w:sz w:val="24"/>
          <w:szCs w:val="24"/>
        </w:rPr>
        <w:t>8月23日，Si2411主力合约呈下行走势，收盘价9595元/吨，较上一收盘价涨跌幅-1.39%。由于下游采购积极性增强，使得现货市场活跃度提升，仓单整体有所注销，在盘面估值整体相对较低，上周盘面出现一定程度反弹，但宽松格局暂未出现明显改善，且库存压力仍存，对盘面大幅反弹仍有压制。因此，在无明显单边驱动情况下，短期盘面以震荡对待，主力合约参考区间（9300，10000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0266"/>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177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成本节节高 天胶表现偏强</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胶震荡偏强。目前看，产区季节性上量预期仍存，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稳中转好。终端汽车方面，8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7671"/>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189"/>
      <w:r>
        <w:rPr>
          <w:rFonts w:hint="eastAsia" w:ascii="Times New Roman" w:hAnsi="Times New Roman" w:eastAsia="楷体"/>
          <w:b/>
          <w:color w:val="000000" w:themeColor="text1"/>
          <w:sz w:val="24"/>
          <w:szCs w:val="24"/>
          <w14:textFill>
            <w14:solidFill>
              <w14:schemeClr w14:val="tx1"/>
            </w14:solidFill>
          </w14:textFill>
        </w:rPr>
        <w:t>原油：油价震荡回调，供需基本面仍是关键</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上周油价经历了整体回调，原油价格呈现动荡走势，先是在需求端的压力下大幅下跌，随后在供应端挺价及宏观情绪的支持下有所反弹，但周度整体仍呈现小幅下跌。短期内油价预计将继续震荡调整，反弹动力主要依赖于地缘政治紧张局势的升温或宏观经济情绪的好转。</w:t>
      </w:r>
    </w:p>
    <w:p>
      <w:pPr>
        <w:ind w:left="630" w:leftChars="300"/>
        <w:rPr>
          <w:rFonts w:hint="eastAsia" w:ascii="楷体" w:hAnsi="楷体" w:eastAsia="楷体"/>
          <w:sz w:val="24"/>
          <w:szCs w:val="24"/>
        </w:rPr>
      </w:pPr>
      <w:r>
        <w:rPr>
          <w:rFonts w:hint="eastAsia" w:ascii="楷体" w:hAnsi="楷体" w:eastAsia="楷体"/>
          <w:sz w:val="24"/>
          <w:szCs w:val="24"/>
        </w:rPr>
        <w:t>宏观层面，随着通胀率趋近2%，美联储主席鲍威尔在最近的讲话中明确表示，政策重点将从恢复物价稳定转向支持经济增长和劳动力市场。</w:t>
      </w:r>
    </w:p>
    <w:p>
      <w:pPr>
        <w:ind w:left="630" w:leftChars="300"/>
        <w:rPr>
          <w:rFonts w:hint="eastAsia" w:ascii="楷体" w:hAnsi="楷体" w:eastAsia="楷体"/>
          <w:sz w:val="24"/>
          <w:szCs w:val="24"/>
        </w:rPr>
      </w:pPr>
      <w:r>
        <w:rPr>
          <w:rFonts w:hint="eastAsia" w:ascii="楷体" w:hAnsi="楷体" w:eastAsia="楷体"/>
          <w:sz w:val="24"/>
          <w:szCs w:val="24"/>
        </w:rPr>
        <w:t>需求方面，美国炼油厂计划进行大规模秋季检修，这将导致开工率下降至近年低位；同时，中国7月原油加工量同比下降6.1%，原油需求出现结构性下滑；印度7月原油进口量也同比下降0.7%。这些因素表明全球原油需求持续疲软。</w:t>
      </w:r>
    </w:p>
    <w:p>
      <w:pPr>
        <w:ind w:left="630" w:leftChars="300"/>
        <w:rPr>
          <w:rFonts w:hint="eastAsia" w:ascii="楷体" w:hAnsi="楷体" w:eastAsia="楷体"/>
          <w:sz w:val="24"/>
          <w:szCs w:val="24"/>
        </w:rPr>
      </w:pPr>
      <w:r>
        <w:rPr>
          <w:rFonts w:hint="eastAsia" w:ascii="楷体" w:hAnsi="楷体" w:eastAsia="楷体"/>
          <w:sz w:val="24"/>
          <w:szCs w:val="24"/>
        </w:rPr>
        <w:t>供应端相对平稳，但OPEC+成员国虽多次表示将通过补偿性减产来支撑油价，实际上却未能有效执行。俄罗斯原油周度海运量在8月11日当周有所增长，而美国原油产量在短暂上升后再度回落，显示美国增产空间有限。</w:t>
      </w:r>
    </w:p>
    <w:p>
      <w:pPr>
        <w:ind w:left="630" w:leftChars="300"/>
        <w:rPr>
          <w:rFonts w:hint="eastAsia" w:ascii="楷体" w:hAnsi="楷体" w:eastAsia="楷体"/>
          <w:sz w:val="24"/>
          <w:szCs w:val="24"/>
        </w:rPr>
      </w:pPr>
      <w:r>
        <w:rPr>
          <w:rFonts w:hint="eastAsia" w:ascii="楷体" w:hAnsi="楷体" w:eastAsia="楷体"/>
          <w:sz w:val="24"/>
          <w:szCs w:val="24"/>
        </w:rPr>
        <w:t>库存方面，EIA数据显示原油及成品油库存有所下降，但考虑到季节性因素和需求复苏缓慢，市场对库存减少的反应平淡。</w:t>
      </w:r>
    </w:p>
    <w:p>
      <w:pPr>
        <w:ind w:left="630" w:leftChars="300"/>
        <w:rPr>
          <w:rFonts w:hint="eastAsia" w:ascii="楷体" w:hAnsi="楷体" w:eastAsia="楷体"/>
          <w:sz w:val="24"/>
          <w:szCs w:val="24"/>
        </w:rPr>
      </w:pPr>
      <w:r>
        <w:rPr>
          <w:rFonts w:hint="eastAsia" w:ascii="楷体" w:hAnsi="楷体" w:eastAsia="楷体"/>
          <w:sz w:val="24"/>
          <w:szCs w:val="24"/>
        </w:rPr>
        <w:t>地缘政治方面，短期内冲突升级的可能性较小，伊朗表示将谨慎对待任何潜在的冲突，降低了市场对地缘政治风险的预期。</w:t>
      </w:r>
    </w:p>
    <w:p>
      <w:pPr>
        <w:ind w:left="630" w:leftChars="300"/>
        <w:rPr>
          <w:rFonts w:hint="eastAsia" w:ascii="楷体" w:hAnsi="楷体" w:eastAsia="楷体"/>
          <w:sz w:val="24"/>
          <w:szCs w:val="24"/>
        </w:rPr>
      </w:pPr>
      <w:r>
        <w:rPr>
          <w:rFonts w:hint="eastAsia" w:ascii="楷体" w:hAnsi="楷体" w:eastAsia="楷体"/>
          <w:sz w:val="24"/>
          <w:szCs w:val="24"/>
        </w:rPr>
        <w:t>综合来看，随着地缘政治紧张局势的缓解，油价短期内可能继续承压，基本面的利好难以大幅提振油价。WTI原油在70-71美元附近的支撑值得关注，同时需要警惕地缘政治风险的突然变化可能导致油价波动加剧。美国即将开始的降息周期可能对油价产生的积极影响有限，关键仍在于供需基本面是否会发生根本性改变。</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15356"/>
      <w:r>
        <w:rPr>
          <w:rFonts w:hint="eastAsia" w:ascii="Times New Roman" w:hAnsi="Times New Roman" w:eastAsia="楷体"/>
          <w:b/>
          <w:color w:val="000000" w:themeColor="text1"/>
          <w:sz w:val="24"/>
          <w:szCs w:val="24"/>
          <w14:textFill>
            <w14:solidFill>
              <w14:schemeClr w14:val="tx1"/>
            </w14:solidFill>
          </w14:textFill>
        </w:rPr>
        <w:t>燃料油及低硫燃料油：多空交织，市场分化明显</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上周国产燃料油市场行情涨跌交替，受国际油价先涨后跌影响，美原油价格在72-78美元/桶区间波动，消息面偏空，市场供需改善有限，均价小幅上移至4761元/吨，环比上涨0.25%。</w:t>
      </w:r>
    </w:p>
    <w:p>
      <w:pPr>
        <w:ind w:left="630" w:leftChars="300"/>
        <w:rPr>
          <w:rFonts w:hint="eastAsia" w:ascii="楷体" w:hAnsi="楷体" w:eastAsia="楷体"/>
          <w:sz w:val="24"/>
          <w:szCs w:val="24"/>
        </w:rPr>
      </w:pPr>
      <w:r>
        <w:rPr>
          <w:rFonts w:hint="eastAsia" w:ascii="楷体" w:hAnsi="楷体" w:eastAsia="楷体"/>
          <w:sz w:val="24"/>
          <w:szCs w:val="24"/>
        </w:rPr>
        <w:t>在燃料油基本面方面，高硫燃料油强势阶段已过，市场多空交织，裂解价差、月差及现货贴水均震荡。中东地区因极端高温导致需求依然旺盛，沙特8月进口量预期增加。然而，俄罗斯供应受无人机袭击影响，7月发货量减少。尽管高硫燃料油支撑因素仍在，但裂解价差不佳限制下游炼油需求。随着夏季结束，中东采购力度减弱，高硫燃料油估值存回调空间。</w:t>
      </w:r>
    </w:p>
    <w:p>
      <w:pPr>
        <w:ind w:left="630" w:leftChars="300"/>
        <w:rPr>
          <w:rFonts w:hint="eastAsia" w:ascii="楷体" w:hAnsi="楷体" w:eastAsia="楷体"/>
          <w:sz w:val="24"/>
          <w:szCs w:val="24"/>
        </w:rPr>
      </w:pPr>
      <w:r>
        <w:rPr>
          <w:rFonts w:hint="eastAsia" w:ascii="楷体" w:hAnsi="楷体" w:eastAsia="楷体"/>
          <w:sz w:val="24"/>
          <w:szCs w:val="24"/>
        </w:rPr>
        <w:t>低硫燃料油方面，上周市场结构边际走强，现货贴水、月差和裂解价差上涨。下游船燃需求边际改善，新加坡7月船燃总销量环比增长，其中低硫燃料油销量增长。同时，供应端出现阶段性矛盾，新加坡部分货物不达标，有效供应收紧。国内低硫燃料油出口退税配额趋紧，产量下降，短期内市场表现出利多因素，结构可能偏强。但长期来看，市场仍面临过剩产能和替代燃料竞争问题，估值持续上涨面临阻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6276"/>
      <w:r>
        <w:rPr>
          <w:rFonts w:hint="eastAsia" w:ascii="Times New Roman" w:hAnsi="Times New Roman" w:eastAsia="楷体"/>
          <w:b/>
          <w:color w:val="000000" w:themeColor="text1"/>
          <w:sz w:val="24"/>
          <w:szCs w:val="24"/>
          <w14:textFill>
            <w14:solidFill>
              <w14:schemeClr w14:val="tx1"/>
            </w14:solidFill>
          </w14:textFill>
        </w:rPr>
        <w:t>沥青：多重压力叠加，弱势格局或将延续</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上周，沥青市场表现疲软，价格波动紧随原油市场，一度抗跌后随油价反弹而走弱，裂解价差亦先强后弱。炼厂出货量下降，开工率受低利润和排库需求影响维持低位，库存下降主要因供应压缩而非需求拉动。</w:t>
      </w:r>
    </w:p>
    <w:p>
      <w:pPr>
        <w:ind w:left="630" w:leftChars="300"/>
        <w:rPr>
          <w:rFonts w:hint="eastAsia" w:ascii="楷体" w:hAnsi="楷体" w:eastAsia="楷体"/>
          <w:sz w:val="24"/>
          <w:szCs w:val="24"/>
        </w:rPr>
      </w:pPr>
      <w:r>
        <w:rPr>
          <w:rFonts w:hint="eastAsia" w:ascii="楷体" w:hAnsi="楷体" w:eastAsia="楷体"/>
          <w:sz w:val="24"/>
          <w:szCs w:val="24"/>
        </w:rPr>
        <w:t>成本方面，原油价格周内先跌后涨，OPEC+减产执行率提升，季节性去库存未完，原油市场情绪有所恢复。但上海原油期货因汇率和过剩问题弱于外盘，四季度可能反转。</w:t>
      </w:r>
    </w:p>
    <w:p>
      <w:pPr>
        <w:ind w:left="630" w:leftChars="300"/>
        <w:rPr>
          <w:rFonts w:hint="eastAsia" w:ascii="楷体" w:hAnsi="楷体" w:eastAsia="楷体"/>
          <w:sz w:val="24"/>
          <w:szCs w:val="24"/>
        </w:rPr>
      </w:pPr>
      <w:r>
        <w:rPr>
          <w:rFonts w:hint="eastAsia" w:ascii="楷体" w:hAnsi="楷体" w:eastAsia="楷体"/>
          <w:sz w:val="24"/>
          <w:szCs w:val="24"/>
        </w:rPr>
        <w:t>现货市场南北差异明显，南方相对强劲，北方较弱。供应端，山东产量上升，库存压力增大；长三角地区开工率反弹，库存仍低。需求方面，改性沥青产能利用率小幅提升，南方受天气影响需求受抑，北方部分地区开工率上升。</w:t>
      </w:r>
    </w:p>
    <w:p>
      <w:pPr>
        <w:ind w:left="630" w:leftChars="300"/>
        <w:rPr>
          <w:rFonts w:hint="eastAsia" w:ascii="楷体" w:hAnsi="楷体" w:eastAsia="楷体"/>
          <w:sz w:val="24"/>
          <w:szCs w:val="24"/>
        </w:rPr>
      </w:pPr>
      <w:r>
        <w:rPr>
          <w:rFonts w:hint="eastAsia" w:ascii="楷体" w:hAnsi="楷体" w:eastAsia="楷体"/>
          <w:sz w:val="24"/>
          <w:szCs w:val="24"/>
        </w:rPr>
        <w:t>国内沥青炼厂产能利用率环比增加，但需求因资金和天气因素制约维持疲软，预计7、8月份需求低于去年同期。未来一周，部分地区受降雨影响，需求可能受挫，但9月份有望改善。</w:t>
      </w:r>
    </w:p>
    <w:p>
      <w:pPr>
        <w:ind w:left="630" w:leftChars="300"/>
        <w:rPr>
          <w:rFonts w:hint="eastAsia" w:ascii="楷体" w:hAnsi="楷体" w:eastAsia="楷体"/>
          <w:sz w:val="24"/>
          <w:szCs w:val="24"/>
        </w:rPr>
      </w:pPr>
      <w:r>
        <w:rPr>
          <w:rFonts w:hint="eastAsia" w:ascii="楷体" w:hAnsi="楷体" w:eastAsia="楷体"/>
          <w:sz w:val="24"/>
          <w:szCs w:val="24"/>
        </w:rPr>
        <w:t>库存方面，国内沥青炼厂库存和社会库存环比均有所下降。总体来看，原油价格区间震荡，沥青成本端方向不明。市场供需双弱，炼厂利润承压，开工率和产量低位运行。需求受资金和天气压制，短期内难以显著改善。预计油价企稳后，沥青盘面将获下方支撑，但上方存阻力，整体维持区间震荡。若油价继续反弹，沥青裂解价差可能面临下行压力。低开工率支撑价格下限，但旺季需求不佳限制上行空间，总体表现为跟随油价基础上的弱势震荡。</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14743"/>
      <w:r>
        <w:rPr>
          <w:rFonts w:hint="eastAsia" w:ascii="Times New Roman" w:hAnsi="Times New Roman" w:eastAsia="楷体"/>
          <w:b/>
          <w:color w:val="000000" w:themeColor="text1"/>
          <w:sz w:val="24"/>
          <w:szCs w:val="24"/>
          <w14:textFill>
            <w14:solidFill>
              <w14:schemeClr w14:val="tx1"/>
            </w14:solidFill>
          </w14:textFill>
        </w:rPr>
        <w:t>PTA：后市仍存累库压力 价格持续改善空间受限</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TA市场氛围依旧偏弱。目前汉邦220万吨装置已重启，恒力石化（大连）250万吨PTA-5装置已检修，9月宁波台化120万吨PTA装置计划月初检修，四川能投100万吨PTA装置计划8月下重启，恒力大连一套220万吨装置计划9月检修。PTA开工率环比变动不大。需求方面聚酯整体库存依旧偏高，终端织造订单在高温天气缓和影响下局部改善，旺季聚酯开工仍有提升空间但可能相对有限。PTA后市或依然存在累库压力。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14637"/>
      <w:r>
        <w:rPr>
          <w:rFonts w:hint="eastAsia" w:ascii="Times New Roman" w:hAnsi="Times New Roman" w:eastAsia="楷体"/>
          <w:b/>
          <w:color w:val="000000" w:themeColor="text1"/>
          <w:sz w:val="24"/>
          <w:szCs w:val="24"/>
          <w14:textFill>
            <w14:solidFill>
              <w14:schemeClr w14:val="tx1"/>
            </w14:solidFill>
          </w14:textFill>
        </w:rPr>
        <w:t>乙二醇：下游聚酯需求小幅改善 乙二醇或维持震荡走势</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近期乙二醇供增需减，市场交投气氛回落，港口到港本周有所延迟，主港乙二醇发货出现回落，乙二醇基差月差周环比小幅走弱。供应方面，乙二醇国内产量回升速度依旧较慢，9月从涉及检修和重启装置统计来看乙二醇月开工率环比变动不大。近期乙二醇内外盘价差缩小，8月下旬乙二醇合约货到港较为集中，港口库存预期回升。需求方面聚酯整体库存依旧偏高，终端织造订单在高温天气缓和影响下局部改善。价格可能维持震荡走势。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15753"/>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865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期价持续反弹</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在近期期价反弹过程中，11月和1月合约表现相对突出，这主要源于两个方面的原因，其一是市场传言称国家有意控制四季度进口谷物数量，其二是市场担心新旧作衔接问题，因市场预期中的贸易商去库并未出现，反而是中下游库存持续下降，导致各地现货均出现上涨苗头。在这种情况下，我们可以认为市场利空已经在很大程度上得到反映，接下来需要留意的是新作上市压力预期，但考虑到今年天气异常带来潜在的减产，不排除这一问题让位于现货，再加上市场对下一年度供需预估较当前年度紧张，甚至不排除市场逐步趋于乐观，提前进入补库周期的可能性。综上所述，我们维持谨慎看多观点，建议谨慎投资者观望，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除近月外多有走扩，主要源于影响价差的三个方面因素均转向利多，其一是行业供需趋于改善即行业库存继续下滑，其二是副产品端因外盘美豆带动国内蛋白粕继续弱势，其三是原料成本端华北玉米率先反弹。再加上淀粉现货基差高企，而盘面生产利润为负，淀粉-玉米价差有望继续走扩。综上所述，我们维持谨慎看多观点，建议谨慎投资者观望或持有做扩淀粉-玉米价差，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28925"/>
      <w:r>
        <w:rPr>
          <w:rFonts w:hint="eastAsia" w:ascii="楷体" w:hAnsi="楷体" w:eastAsia="楷体"/>
          <w:b/>
          <w:bCs/>
          <w:color w:val="000000" w:themeColor="text1"/>
          <w14:textFill>
            <w14:solidFill>
              <w14:schemeClr w14:val="tx1"/>
            </w14:solidFill>
          </w14:textFill>
        </w:rPr>
        <w:t>畜禽养殖：生猪期价转为近弱远强</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转为近弱远强，近月受现货带动大幅下跌，因市场担心现货高点已经出现，后期将持续弱势；而远月相对抗跌，主要原因有二，其一是前期已经大幅下跌，在一定程度上反映后期供需改善预期，其二是市场看跌预期或导致养殖户抑制供应端，缓解远期供需过剩。在理解盘面的基础上看，远月关注供需改善幅度及其饲料成本预期，考虑到远月期价贴近，目前证伪难度较大；近月更多关注节奏，特别是生猪出栏恢复的进度与生猪出栏体重的变化，这里面需要跟过去两年做个比较，2022年更多源于市场压栏和新冠疫情，2023年更多源于非瘟疫情和资金链因素。与过去两年相比，当前生猪出栏体重逼近2022年，再加上近期肥标价差出现较大回落，使得市场担心现货高点已经出现，有望带动一波出栏，继而通过现货带动期价回落，但也暂不宜过分悲观，因今年新生仔猪数量底部出现在3-4月，对应生猪出栏量大致在9-10月。综上所述，我们转为中性观点，建议投资者前期近月合约多单离场后暂以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期价结构整体表现为近强远弱，近月更多受现货和基差支撑，而远月弱势主要源于两个方面，其一是供应恢复的预期，这可以从大小蛋价差处于历史高位得到印证，其二是饲料成本的下跌，在同等利润水平下鸡蛋现货绝对价格更低。从市场逻辑出发，主要关注这两个方面会否存在问题，后者即饲料成本目前看豆粕和玉米依然弱势，暂时无法证伪，但前者可能存在问题，今年年后以来现货整体表现强于预期，应该更多源于供应端的因素，这可能源于春节前后补栏积极性下降而淘汰积极性上升，因当时蛋鸡苗价格处于历史低位，而多家机构数据均显示去年底以来蛋鸡淘汰量同比大幅增加。而就当下而言，鸡蛋现货仍处于季节性旺季阶段，虽然市场预期悲观，但现货持续坚挺，虽绝对价格尚未超过往年同期，但对应的养殖利润已是历史同期最高水平，因此，我们基于现货基差支撑，仍相对看好近月合约。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4497"/>
      <w:r>
        <w:rPr>
          <w:rFonts w:hint="eastAsia" w:ascii="楷体" w:hAnsi="楷体" w:eastAsia="楷体"/>
          <w:b/>
          <w:bCs/>
          <w:color w:val="000000" w:themeColor="text1"/>
          <w14:textFill>
            <w14:solidFill>
              <w14:schemeClr w14:val="tx1"/>
            </w14:solidFill>
          </w14:textFill>
        </w:rPr>
        <w:t>白糖：震荡整理</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纽约原糖主力合约和伦敦白砂糖主力合约分别上涨3.25%和2.56%。巴西航运机构Williams发布的数据显示，截至8月21日当周，巴西港口等待装运食糖的船只数量为90艘，此前一周为94艘。港口等待装运的食糖数量为381.88万吨，此前一周为399.77万吨。在当周等待出口的食糖总量中，高等级原糖(VHP)数量为363.46万吨。国内隔周夜盘，白糖主力01合约上涨0.54%。国际糖价低迷，进口利润大增，进口增加预期叠加新季丰产预期，供应充沛，糖价震荡偏弱。但久跌后基差过大，不排除大幅反弹可能。</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9998"/>
      <w:r>
        <w:rPr>
          <w:rFonts w:hint="eastAsia" w:ascii="楷体" w:hAnsi="楷体" w:eastAsia="楷体"/>
          <w:b/>
          <w:bCs/>
          <w:color w:val="000000" w:themeColor="text1"/>
          <w14:textFill>
            <w14:solidFill>
              <w14:schemeClr w14:val="tx1"/>
            </w14:solidFill>
          </w14:textFill>
        </w:rPr>
        <w:t>棉花：预计郑棉震荡整理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美棉主力上涨2.06%，收复70美分/磅关口。截至8月15日一周，美国新年度陆地棉净签约2.1万吨，装运3.8万吨。其中至中国净签约522吨，装运4354吨。国内隔周夜盘，郑棉主力2501主力合约上涨0.52%。随着金九的临近，纺织订单出现边际回暖。郑棉在长期下滑过程中大量利空释放，盘面也积累了大量空头获利资金。近期技术指标略有好转，若空头止盈，叠加订单的边际回暖，2501主力合约震荡偏强。但进口棉花棉纱维持高位，新季丰产预期未改，反弹高度受限。</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9452"/>
      <w:r>
        <w:rPr>
          <w:rFonts w:hint="eastAsia" w:ascii="楷体" w:hAnsi="楷体" w:eastAsia="楷体"/>
          <w:b/>
          <w:bCs/>
          <w:color w:val="000000" w:themeColor="text1"/>
          <w14:textFill>
            <w14:solidFill>
              <w14:schemeClr w14:val="tx1"/>
            </w14:solidFill>
          </w14:textFill>
        </w:rPr>
        <w:t>蛋白粕：成本端利好不明显，自身供需偏弱</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美豆最新交易日上涨1.20%，价格调整回暖。市场缺乏明显的利多利空题材，虽然Profarmer调研结果显示美豆产量将超过美农业部创记录预测，但盘面对此交易力度并不持久，预计期价震荡运行。国内豆粕跟随海外成本端的变化，根据目前国际大豆价格走势，豆粕仍以偏弱运行为主。菜籽方面，加拿大两家最大铁路停运，导致港口装载推迟，而大部分菜籽都在运往中国。菜粕方面，成本端未出现明显利好，自身供需相对偏弱，预计偏弱运行，可逢高抛空。</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327"/>
      <w:r>
        <w:rPr>
          <w:rFonts w:hint="eastAsia" w:ascii="楷体" w:hAnsi="楷体" w:eastAsia="楷体"/>
          <w:b/>
          <w:bCs/>
          <w:color w:val="000000" w:themeColor="text1"/>
          <w14:textFill>
            <w14:solidFill>
              <w14:schemeClr w14:val="tx1"/>
            </w14:solidFill>
          </w14:textFill>
        </w:rPr>
        <w:t>油脂类：海外棕油因政策限制及产量减少而有所支撑，豆菜跟随</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最新夜盘豆油上涨1.13%，菜油上涨0.83%，棕榈油上涨1.44%，油脂表现较为强势。随着近期菜籽收割加快，菜籽价格弱势给菜油带来压力。棕榈油方面，印尼实行B40政策，即将棕榈基生物柴油强制掺混比例从目前的35%提高到40%。分析师估计明年印尼国内棕榈油用量将提高到1500万吨，导致出口供应降低，有助于提振马来西亚棕榈油的出口需求。从各家机构对8月马棕油前20日产量预估来看，明显低于往年同期水平，这使得马棕油获得支撑。豆油跟随上涨。后续国内豆菜油进入传统消费旺季，期价或重新走强回升。</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5516"/>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29556"/>
      <w:r>
        <w:rPr>
          <w:rFonts w:hint="eastAsia" w:ascii="Times New Roman" w:hAnsi="Times New Roman" w:eastAsia="楷体"/>
          <w:b/>
          <w:color w:val="000000" w:themeColor="text1"/>
          <w:sz w:val="24"/>
          <w:szCs w:val="24"/>
          <w14:textFill>
            <w14:solidFill>
              <w14:schemeClr w14:val="tx1"/>
            </w14:solidFill>
          </w14:textFill>
        </w:rPr>
        <w:t>集运指数（欧线）：欧元区制造业PMI略低于预期，期价小幅下跌</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五12合约跌1.95%至2643.0，上周累计下跌2.34%。欧元区8月制造业PMI初值45.6，略低于预期及前值的45.8；欧元区8月服务业PMI初值53.3，综合PMI51.2，高于预期。上海国际能源交易中心发布通知，经研究决定，自2024年8月27日（周二）交易起，集运指数（欧线）期货新上市合约交易保证金比例为18%，涨跌停板幅度为16%，首日涨跌停板幅度为其2倍；自8月27日交易起，集运指数（欧线）期货新上市合约交易手续费为成交金额的万分之六，套期保值交易手续费为成交金额的万分之三，日内平今仓交易手续费为成交金额的万分之十二，日内平今仓套期保值交易手续费为成交金额的万分之六。现货运价进一步下跌，欧洲航线运价下滑至6500-7500美元，后续季节性因素影响下若需求如期转弱，基本面或仍维持供给过剩的格局。加沙地区停火谈判暂未达成协议，前景尚不明朗，期价波动或加剧，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1212556"/>
      <w:bookmarkStart w:id="45" w:name="_Toc72481108"/>
      <w:bookmarkStart w:id="46" w:name="_Toc19667"/>
      <w:bookmarkStart w:id="47" w:name="_Toc98426751"/>
      <w:bookmarkStart w:id="48" w:name="_Toc12779"/>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2024年8月26日星期一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2024-08-26T02:07:57Z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