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_Toc412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_Toc20769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_Toc32410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_Toc30978 </w:instrText>
          </w:r>
          <w:r>
            <w:rPr>
              <w:bCs/>
            </w:rPr>
            <w:fldChar w:fldCharType="separate"/>
          </w:r>
          <w:r>
            <w:rPr>
              <w:rFonts w:hint="eastAsia" w:ascii="Times New Roman" w:hAnsi="Times New Roman" w:eastAsia="楷体"/>
              <w:szCs w:val="24"/>
            </w:rPr>
            <w:t>贵金属：美元指数下跌，贵金属价格窄幅震荡</w:t>
          </w:r>
          <w:r>
            <w:rPr>
              <w:bCs/>
            </w:rPr>
            <w:fldChar w:fldCharType="end"/>
          </w:r>
        </w:p>
        <w:p>
          <w:pPr>
            <w:pStyle w:val="59"/>
            <w:tabs>
              <w:tab w:val="right" w:leader="dot" w:pos="8306"/>
            </w:tabs>
          </w:pPr>
          <w:r>
            <w:rPr>
              <w:bCs/>
            </w:rPr>
            <w:fldChar w:fldCharType="begin"/>
          </w:r>
          <w:r>
            <w:rPr>
              <w:bCs/>
            </w:rPr>
            <w:instrText xml:space="preserve"> HYPERLINK \l _Toc15484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_Toc26733 </w:instrText>
          </w:r>
          <w:r>
            <w:rPr>
              <w:bCs/>
            </w:rPr>
            <w:fldChar w:fldCharType="separate"/>
          </w:r>
          <w:r>
            <w:rPr>
              <w:rFonts w:hint="eastAsia" w:ascii="楷体" w:hAnsi="楷体" w:eastAsia="楷体"/>
              <w:szCs w:val="24"/>
            </w:rPr>
            <w:t>碳酸锂：现货价格持平，期价窄幅震荡略微收涨</w:t>
          </w:r>
          <w:r>
            <w:rPr>
              <w:bCs/>
            </w:rPr>
            <w:fldChar w:fldCharType="end"/>
          </w:r>
        </w:p>
        <w:p>
          <w:pPr>
            <w:pStyle w:val="74"/>
            <w:tabs>
              <w:tab w:val="right" w:leader="dot" w:pos="8306"/>
            </w:tabs>
          </w:pPr>
          <w:r>
            <w:rPr>
              <w:bCs/>
            </w:rPr>
            <w:fldChar w:fldCharType="begin"/>
          </w:r>
          <w:r>
            <w:rPr>
              <w:bCs/>
            </w:rPr>
            <w:instrText xml:space="preserve"> HYPERLINK \l _Toc5680 </w:instrText>
          </w:r>
          <w:r>
            <w:rPr>
              <w:bCs/>
            </w:rPr>
            <w:fldChar w:fldCharType="separate"/>
          </w:r>
          <w:r>
            <w:rPr>
              <w:rFonts w:hint="eastAsia" w:ascii="楷体" w:hAnsi="楷体" w:eastAsia="楷体"/>
              <w:szCs w:val="24"/>
            </w:rPr>
            <w:t>铝：铝价反弹谨慎看多</w:t>
          </w:r>
          <w:r>
            <w:rPr>
              <w:bCs/>
            </w:rPr>
            <w:fldChar w:fldCharType="end"/>
          </w:r>
        </w:p>
        <w:p>
          <w:pPr>
            <w:pStyle w:val="74"/>
            <w:tabs>
              <w:tab w:val="right" w:leader="dot" w:pos="8306"/>
            </w:tabs>
          </w:pPr>
          <w:r>
            <w:rPr>
              <w:bCs/>
            </w:rPr>
            <w:fldChar w:fldCharType="begin"/>
          </w:r>
          <w:r>
            <w:rPr>
              <w:bCs/>
            </w:rPr>
            <w:instrText xml:space="preserve"> HYPERLINK \l _Toc31249 </w:instrText>
          </w:r>
          <w:r>
            <w:rPr>
              <w:bCs/>
            </w:rPr>
            <w:fldChar w:fldCharType="separate"/>
          </w:r>
          <w:r>
            <w:rPr>
              <w:rFonts w:hint="eastAsia" w:ascii="楷体" w:hAnsi="楷体" w:eastAsia="楷体"/>
              <w:szCs w:val="24"/>
            </w:rPr>
            <w:t>锌：短期多配，注意宏观风险</w:t>
          </w:r>
          <w:r>
            <w:rPr>
              <w:bCs/>
            </w:rPr>
            <w:fldChar w:fldCharType="end"/>
          </w:r>
        </w:p>
        <w:p>
          <w:pPr>
            <w:pStyle w:val="74"/>
            <w:tabs>
              <w:tab w:val="right" w:leader="dot" w:pos="8306"/>
            </w:tabs>
          </w:pPr>
          <w:r>
            <w:rPr>
              <w:bCs/>
            </w:rPr>
            <w:fldChar w:fldCharType="begin"/>
          </w:r>
          <w:r>
            <w:rPr>
              <w:bCs/>
            </w:rPr>
            <w:instrText xml:space="preserve"> HYPERLINK \l _Toc16676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：维持震荡偏强，高度需谨慎</w:t>
          </w:r>
          <w:r>
            <w:rPr>
              <w:bCs/>
            </w:rPr>
            <w:fldChar w:fldCharType="end"/>
          </w:r>
        </w:p>
        <w:p>
          <w:pPr>
            <w:pStyle w:val="74"/>
            <w:tabs>
              <w:tab w:val="right" w:leader="dot" w:pos="8306"/>
            </w:tabs>
          </w:pPr>
          <w:r>
            <w:rPr>
              <w:bCs/>
            </w:rPr>
            <w:fldChar w:fldCharType="begin"/>
          </w:r>
          <w:r>
            <w:rPr>
              <w:bCs/>
            </w:rPr>
            <w:instrText xml:space="preserve"> HYPERLINK \l _Toc9528 </w:instrText>
          </w:r>
          <w:r>
            <w:rPr>
              <w:bCs/>
            </w:rPr>
            <w:fldChar w:fldCharType="separate"/>
          </w:r>
          <w:r>
            <w:rPr>
              <w:rFonts w:hint="eastAsia" w:ascii="楷体" w:hAnsi="楷体" w:eastAsia="楷体"/>
              <w:szCs w:val="24"/>
            </w:rPr>
            <w:t>镍：供需缺乏明显驱动，或围绕成本线震荡</w:t>
          </w:r>
          <w:r>
            <w:rPr>
              <w:bCs/>
            </w:rPr>
            <w:fldChar w:fldCharType="end"/>
          </w:r>
        </w:p>
        <w:p>
          <w:pPr>
            <w:pStyle w:val="74"/>
            <w:tabs>
              <w:tab w:val="right" w:leader="dot" w:pos="8306"/>
            </w:tabs>
          </w:pPr>
          <w:r>
            <w:rPr>
              <w:bCs/>
            </w:rPr>
            <w:fldChar w:fldCharType="begin"/>
          </w:r>
          <w:r>
            <w:rPr>
              <w:bCs/>
            </w:rPr>
            <w:instrText xml:space="preserve"> HYPERLINK \l _Toc22719 </w:instrText>
          </w:r>
          <w:r>
            <w:rPr>
              <w:bCs/>
            </w:rPr>
            <w:fldChar w:fldCharType="separate"/>
          </w:r>
          <w:r>
            <w:rPr>
              <w:rFonts w:hint="eastAsia" w:ascii="楷体" w:hAnsi="楷体" w:eastAsia="楷体"/>
              <w:szCs w:val="24"/>
            </w:rPr>
            <w:t>不锈钢：下游需求不佳，低位震荡为主</w:t>
          </w:r>
          <w:r>
            <w:rPr>
              <w:bCs/>
            </w:rPr>
            <w:fldChar w:fldCharType="end"/>
          </w:r>
        </w:p>
        <w:p>
          <w:pPr>
            <w:pStyle w:val="74"/>
            <w:tabs>
              <w:tab w:val="right" w:leader="dot" w:pos="8306"/>
            </w:tabs>
          </w:pPr>
          <w:r>
            <w:rPr>
              <w:bCs/>
            </w:rPr>
            <w:fldChar w:fldCharType="begin"/>
          </w:r>
          <w:r>
            <w:rPr>
              <w:bCs/>
            </w:rPr>
            <w:instrText xml:space="preserve"> HYPERLINK \l _Toc15314 </w:instrText>
          </w:r>
          <w:r>
            <w:rPr>
              <w:bCs/>
            </w:rPr>
            <w:fldChar w:fldCharType="separate"/>
          </w:r>
          <w:r>
            <w:rPr>
              <w:rFonts w:hint="eastAsia" w:ascii="楷体" w:hAnsi="楷体" w:eastAsia="楷体"/>
              <w:szCs w:val="24"/>
            </w:rPr>
            <w:t>工业硅：宽松格局暂未扭转，反弹高度或受限</w:t>
          </w:r>
          <w:r>
            <w:rPr>
              <w:bCs/>
            </w:rPr>
            <w:fldChar w:fldCharType="end"/>
          </w:r>
        </w:p>
        <w:p>
          <w:pPr>
            <w:pStyle w:val="59"/>
            <w:tabs>
              <w:tab w:val="right" w:leader="dot" w:pos="8306"/>
            </w:tabs>
          </w:pPr>
          <w:r>
            <w:rPr>
              <w:bCs/>
            </w:rPr>
            <w:fldChar w:fldCharType="begin"/>
          </w:r>
          <w:r>
            <w:rPr>
              <w:bCs/>
            </w:rPr>
            <w:instrText xml:space="preserve"> HYPERLINK \l _Toc721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_Toc24993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全钢胎开工快速恢复 天胶下方空间有限</w:t>
          </w:r>
          <w:r>
            <w:rPr>
              <w:bCs/>
            </w:rPr>
            <w:fldChar w:fldCharType="end"/>
          </w:r>
        </w:p>
        <w:p>
          <w:pPr>
            <w:pStyle w:val="74"/>
            <w:tabs>
              <w:tab w:val="right" w:leader="dot" w:pos="8306"/>
            </w:tabs>
          </w:pPr>
          <w:r>
            <w:rPr>
              <w:bCs/>
            </w:rPr>
            <w:fldChar w:fldCharType="begin"/>
          </w:r>
          <w:r>
            <w:rPr>
              <w:bCs/>
            </w:rPr>
            <w:instrText xml:space="preserve"> HYPERLINK \l _Toc23673 </w:instrText>
          </w:r>
          <w:r>
            <w:rPr>
              <w:bCs/>
            </w:rPr>
            <w:fldChar w:fldCharType="separate"/>
          </w:r>
          <w:r>
            <w:rPr>
              <w:rFonts w:hint="eastAsia" w:ascii="Times New Roman" w:hAnsi="Times New Roman" w:eastAsia="楷体"/>
              <w:szCs w:val="24"/>
            </w:rPr>
            <w:t>聚烯烃：需求仍处淡季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_Toc19973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累库收窄但现货疲弱，期价弱势下探</w:t>
          </w:r>
          <w:r>
            <w:rPr>
              <w:bCs/>
            </w:rPr>
            <w:fldChar w:fldCharType="end"/>
          </w:r>
        </w:p>
        <w:p>
          <w:pPr>
            <w:pStyle w:val="74"/>
            <w:tabs>
              <w:tab w:val="right" w:leader="dot" w:pos="8306"/>
            </w:tabs>
          </w:pPr>
          <w:r>
            <w:rPr>
              <w:bCs/>
            </w:rPr>
            <w:fldChar w:fldCharType="begin"/>
          </w:r>
          <w:r>
            <w:rPr>
              <w:bCs/>
            </w:rPr>
            <w:instrText xml:space="preserve"> HYPERLINK \l _Toc6996 </w:instrText>
          </w:r>
          <w:r>
            <w:rPr>
              <w:bCs/>
            </w:rPr>
            <w:fldChar w:fldCharType="separate"/>
          </w:r>
          <w:r>
            <w:rPr>
              <w:rFonts w:hint="eastAsia" w:ascii="Times New Roman" w:hAnsi="Times New Roman" w:eastAsia="楷体"/>
              <w:szCs w:val="24"/>
            </w:rPr>
            <w:t>纯碱：供应缩减无助支撑期价走弱，仍需时间等待供需平衡点</w:t>
          </w:r>
          <w:r>
            <w:rPr>
              <w:bCs/>
            </w:rPr>
            <w:fldChar w:fldCharType="end"/>
          </w:r>
        </w:p>
        <w:p>
          <w:pPr>
            <w:pStyle w:val="74"/>
            <w:tabs>
              <w:tab w:val="right" w:leader="dot" w:pos="8306"/>
            </w:tabs>
          </w:pPr>
          <w:r>
            <w:rPr>
              <w:bCs/>
            </w:rPr>
            <w:fldChar w:fldCharType="begin"/>
          </w:r>
          <w:r>
            <w:rPr>
              <w:bCs/>
            </w:rPr>
            <w:instrText xml:space="preserve"> HYPERLINK \l _Toc13568 </w:instrText>
          </w:r>
          <w:r>
            <w:rPr>
              <w:bCs/>
            </w:rPr>
            <w:fldChar w:fldCharType="separate"/>
          </w:r>
          <w:r>
            <w:rPr>
              <w:rFonts w:hint="eastAsia" w:ascii="Times New Roman" w:hAnsi="Times New Roman" w:eastAsia="楷体"/>
              <w:szCs w:val="24"/>
            </w:rPr>
            <w:t>PTA：平衡表累库加剧 后市难言乐观</w:t>
          </w:r>
          <w:r>
            <w:rPr>
              <w:bCs/>
            </w:rPr>
            <w:fldChar w:fldCharType="end"/>
          </w:r>
        </w:p>
        <w:p>
          <w:pPr>
            <w:pStyle w:val="74"/>
            <w:tabs>
              <w:tab w:val="right" w:leader="dot" w:pos="8306"/>
            </w:tabs>
          </w:pPr>
          <w:r>
            <w:rPr>
              <w:bCs/>
            </w:rPr>
            <w:fldChar w:fldCharType="begin"/>
          </w:r>
          <w:r>
            <w:rPr>
              <w:bCs/>
            </w:rPr>
            <w:instrText xml:space="preserve"> HYPERLINK \l _Toc27880 </w:instrText>
          </w:r>
          <w:r>
            <w:rPr>
              <w:bCs/>
            </w:rPr>
            <w:fldChar w:fldCharType="separate"/>
          </w:r>
          <w:r>
            <w:rPr>
              <w:rFonts w:hint="eastAsia" w:ascii="Times New Roman" w:hAnsi="Times New Roman" w:eastAsia="楷体"/>
              <w:szCs w:val="24"/>
            </w:rPr>
            <w:t>乙二醇：供需格局短期内变化有限，市场涨跌趋势难有形成</w:t>
          </w:r>
          <w:r>
            <w:rPr>
              <w:bCs/>
            </w:rPr>
            <w:fldChar w:fldCharType="end"/>
          </w:r>
        </w:p>
        <w:p>
          <w:pPr>
            <w:pStyle w:val="59"/>
            <w:tabs>
              <w:tab w:val="right" w:leader="dot" w:pos="8306"/>
            </w:tabs>
          </w:pPr>
          <w:r>
            <w:rPr>
              <w:bCs/>
            </w:rPr>
            <w:fldChar w:fldCharType="begin"/>
          </w:r>
          <w:r>
            <w:rPr>
              <w:bCs/>
            </w:rPr>
            <w:instrText xml:space="preserve"> HYPERLINK \l _Toc22875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_Toc11948 </w:instrText>
          </w:r>
          <w:r>
            <w:rPr>
              <w:bCs/>
            </w:rPr>
            <w:fldChar w:fldCharType="separate"/>
          </w:r>
          <w:r>
            <w:rPr>
              <w:rFonts w:hint="eastAsia" w:ascii="楷体" w:hAnsi="楷体" w:eastAsia="楷体"/>
              <w:bCs/>
            </w:rPr>
            <w:t>玉米与淀粉：</w:t>
          </w:r>
          <w:r>
            <w:rPr>
              <w:rFonts w:hint="eastAsia" w:ascii="楷体" w:hAnsi="楷体" w:eastAsia="楷体"/>
            </w:rPr>
            <w:t>华北现货止跌回升带动期价反弹</w:t>
          </w:r>
          <w:r>
            <w:rPr>
              <w:bCs/>
            </w:rPr>
            <w:fldChar w:fldCharType="end"/>
          </w:r>
        </w:p>
        <w:p>
          <w:pPr>
            <w:pStyle w:val="74"/>
            <w:tabs>
              <w:tab w:val="right" w:leader="dot" w:pos="8306"/>
            </w:tabs>
          </w:pPr>
          <w:r>
            <w:rPr>
              <w:bCs/>
            </w:rPr>
            <w:fldChar w:fldCharType="begin"/>
          </w:r>
          <w:r>
            <w:rPr>
              <w:bCs/>
            </w:rPr>
            <w:instrText xml:space="preserve"> HYPERLINK \l _Toc6438 </w:instrText>
          </w:r>
          <w:r>
            <w:rPr>
              <w:bCs/>
            </w:rPr>
            <w:fldChar w:fldCharType="separate"/>
          </w:r>
          <w:r>
            <w:rPr>
              <w:rFonts w:hint="eastAsia" w:ascii="楷体" w:hAnsi="楷体" w:eastAsia="楷体"/>
              <w:bCs/>
            </w:rPr>
            <w:t>畜禽养殖：鸡蛋期价窄幅震荡</w:t>
          </w:r>
          <w:r>
            <w:rPr>
              <w:bCs/>
            </w:rPr>
            <w:fldChar w:fldCharType="end"/>
          </w:r>
        </w:p>
        <w:p>
          <w:pPr>
            <w:pStyle w:val="74"/>
            <w:tabs>
              <w:tab w:val="right" w:leader="dot" w:pos="8306"/>
            </w:tabs>
          </w:pPr>
          <w:r>
            <w:rPr>
              <w:bCs/>
            </w:rPr>
            <w:fldChar w:fldCharType="begin"/>
          </w:r>
          <w:r>
            <w:rPr>
              <w:bCs/>
            </w:rPr>
            <w:instrText xml:space="preserve"> HYPERLINK \l _Toc11044 </w:instrText>
          </w:r>
          <w:r>
            <w:rPr>
              <w:bCs/>
            </w:rPr>
            <w:fldChar w:fldCharType="separate"/>
          </w:r>
          <w:r>
            <w:rPr>
              <w:rFonts w:hint="eastAsia" w:ascii="楷体" w:hAnsi="楷体" w:eastAsia="楷体"/>
              <w:bCs/>
            </w:rPr>
            <w:t>白糖：区间震荡</w:t>
          </w:r>
          <w:r>
            <w:rPr>
              <w:bCs/>
            </w:rPr>
            <w:fldChar w:fldCharType="end"/>
          </w:r>
        </w:p>
        <w:p>
          <w:pPr>
            <w:pStyle w:val="74"/>
            <w:tabs>
              <w:tab w:val="right" w:leader="dot" w:pos="8306"/>
            </w:tabs>
          </w:pPr>
          <w:r>
            <w:rPr>
              <w:bCs/>
            </w:rPr>
            <w:fldChar w:fldCharType="begin"/>
          </w:r>
          <w:r>
            <w:rPr>
              <w:bCs/>
            </w:rPr>
            <w:instrText xml:space="preserve"> HYPERLINK \l _Toc3801 </w:instrText>
          </w:r>
          <w:r>
            <w:rPr>
              <w:bCs/>
            </w:rPr>
            <w:fldChar w:fldCharType="separate"/>
          </w:r>
          <w:r>
            <w:rPr>
              <w:rFonts w:hint="eastAsia" w:ascii="楷体" w:hAnsi="楷体" w:eastAsia="楷体"/>
              <w:bCs/>
            </w:rPr>
            <w:t>棉花：预计郑棉震荡偏强，尝试收复13500关口</w:t>
          </w:r>
          <w:r>
            <w:rPr>
              <w:bCs/>
            </w:rPr>
            <w:fldChar w:fldCharType="end"/>
          </w:r>
        </w:p>
        <w:p>
          <w:pPr>
            <w:pStyle w:val="74"/>
            <w:tabs>
              <w:tab w:val="right" w:leader="dot" w:pos="8306"/>
            </w:tabs>
          </w:pPr>
          <w:r>
            <w:rPr>
              <w:bCs/>
            </w:rPr>
            <w:fldChar w:fldCharType="begin"/>
          </w:r>
          <w:r>
            <w:rPr>
              <w:bCs/>
            </w:rPr>
            <w:instrText xml:space="preserve"> HYPERLINK \l _Toc11482 </w:instrText>
          </w:r>
          <w:r>
            <w:rPr>
              <w:bCs/>
            </w:rPr>
            <w:fldChar w:fldCharType="separate"/>
          </w:r>
          <w:r>
            <w:rPr>
              <w:rFonts w:hint="eastAsia" w:ascii="楷体" w:hAnsi="楷体" w:eastAsia="楷体"/>
              <w:bCs/>
            </w:rPr>
            <w:t>蛋白粕：油料库存减少，期价低位反弹</w:t>
          </w:r>
          <w:r>
            <w:rPr>
              <w:bCs/>
            </w:rPr>
            <w:fldChar w:fldCharType="end"/>
          </w:r>
        </w:p>
        <w:p>
          <w:pPr>
            <w:pStyle w:val="74"/>
            <w:tabs>
              <w:tab w:val="right" w:leader="dot" w:pos="8306"/>
            </w:tabs>
          </w:pPr>
          <w:r>
            <w:rPr>
              <w:bCs/>
            </w:rPr>
            <w:fldChar w:fldCharType="begin"/>
          </w:r>
          <w:r>
            <w:rPr>
              <w:bCs/>
            </w:rPr>
            <w:instrText xml:space="preserve"> HYPERLINK \l _Toc29926 </w:instrText>
          </w:r>
          <w:r>
            <w:rPr>
              <w:bCs/>
            </w:rPr>
            <w:fldChar w:fldCharType="separate"/>
          </w:r>
          <w:r>
            <w:rPr>
              <w:rFonts w:hint="eastAsia" w:ascii="楷体" w:hAnsi="楷体" w:eastAsia="楷体"/>
              <w:bCs/>
            </w:rPr>
            <w:t>油脂类：油脂全线反弹，但预计反弹幅度有限</w:t>
          </w:r>
          <w:r>
            <w:rPr>
              <w:bCs/>
            </w:rPr>
            <w:fldChar w:fldCharType="end"/>
          </w:r>
        </w:p>
        <w:p>
          <w:pPr>
            <w:pStyle w:val="59"/>
            <w:tabs>
              <w:tab w:val="right" w:leader="dot" w:pos="8306"/>
            </w:tabs>
          </w:pPr>
          <w:r>
            <w:rPr>
              <w:bCs/>
            </w:rPr>
            <w:fldChar w:fldCharType="begin"/>
          </w:r>
          <w:r>
            <w:rPr>
              <w:bCs/>
            </w:rPr>
            <w:instrText xml:space="preserve"> HYPERLINK \l _Toc32329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_Toc9854 </w:instrText>
          </w:r>
          <w:r>
            <w:rPr>
              <w:bCs/>
            </w:rPr>
            <w:fldChar w:fldCharType="separate"/>
          </w:r>
          <w:r>
            <w:rPr>
              <w:rFonts w:hint="eastAsia" w:ascii="Times New Roman" w:hAnsi="Times New Roman" w:eastAsia="楷体"/>
              <w:szCs w:val="24"/>
            </w:rPr>
            <w:t>集运指数（欧线）：欧线运力环比上升，期价下跌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41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076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A股受困于市场买盘单一，影响局部上攻持续性，首要关注能否温和放量上行，7月经济金融数据反映实体经济信心尚未扭转，内需偏弱的环境仍未改观， 8月中下旬中报密集披露，需再次规避微盘和绩差股的风险发酵。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241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0978"/>
      <w:r>
        <w:rPr>
          <w:rFonts w:hint="eastAsia" w:ascii="Times New Roman" w:hAnsi="Times New Roman" w:eastAsia="楷体"/>
          <w:b/>
          <w:color w:val="000000" w:themeColor="text1"/>
          <w:sz w:val="24"/>
          <w:szCs w:val="24"/>
          <w14:textFill>
            <w14:solidFill>
              <w14:schemeClr w14:val="tx1"/>
            </w14:solidFill>
          </w14:textFill>
        </w:rPr>
        <w:t>贵金属：美元指数下跌，贵金属价格窄幅震荡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下跌0.53%至101.85；沪金跌0.02%至573.04元/克，沪银涨1.60%至7485元/千克。美联储戴利表示，基于近期经济数据，更有信心认为通胀已得到控制；尽管劳动力市场正在放缓，但并不疲弱；现在是时候考虑调整当前5.25%-5.50%的利率区间。美联储卡什卡利表示，对在下次会议上降息持开放态度，因为就业市场过度疲软的可能性越来越大。非美货币走强，美元兑日元下跌0.71%，离岸人民币兑美元涨295个基点，报7.1336。美国8月密歇根大学消费者信心指数初值67.8，相较前值的66.4和预期值的66.9而言有所回升。上周数据表现而言，美国通胀同比回落，零售销售环比反弹反映美国消费维持活力，对于未来经济衰退可能性的担忧缓解，当前距离美联储降息或更近一步，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548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733"/>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碳酸锂：现货价格持平，期价窄幅震荡略微收涨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窄幅震荡略微收涨，11合约涨0.20%至73400元/吨。外采矿石提锂企业持续成本倒挂，预计后续减停产规模或扩大。磷酸铁锂需求小幅回升，下游电芯企业库存去化后对于正极材料的需求回暖，临近旺季备库以及海外储能订单增长共同推动需求增长，磷铁头部企业开工小幅上行。下游维持谨慎观望，基本面仍然供强需弱，库存处于高位，期价或维持窄幅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680"/>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铝价反弹谨慎看多</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同比数据低于预期，零售销售数据超出预期，两者叠加显示美国通胀压力放缓且经济表现仍有韧性，预计美联储9月大概率降息25BP。国内社融数据疲软，反映需求提振乏力。上游矿端供应依旧偏紧，几内亚驳船发运受阻影响逐渐显现，国内矿产复产节奏缓慢，电解铝厂可用氧化铝库存保持低位，氧化铝现货稀缺，部分氧化铝厂计划减产检修，对氧化铝价格形成支撑，同步强化电解铝生产成本，电解铝开产产能走增，供应保持高位，出口数据显示外需旺盛，特高压项目开通提振铝杆消费，传统消费板块提振乏力，金九银十旺季效应仍待证伪，库存高位去库缓慢。</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降息落地前政策真空期仍需警惕宏观风险，电解铝上游利多情绪支撑，下游需求部分改善，临近旺季市场有乐观消费预期，基本面仍有压力因素影响，谨慎看多。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31249"/>
      <w:r>
        <w:rPr>
          <w:rFonts w:hint="eastAsia" w:ascii="楷体" w:hAnsi="楷体" w:eastAsia="楷体"/>
          <w:b/>
          <w:color w:val="000000" w:themeColor="text1"/>
          <w:sz w:val="24"/>
          <w:szCs w:val="24"/>
          <w14:textFill>
            <w14:solidFill>
              <w14:schemeClr w14:val="tx1"/>
            </w14:solidFill>
          </w14:textFill>
        </w:rPr>
        <w:t>锌：短期多配，注意宏观风险</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美联储大概率9月落地25BP降息美国零售销售数据展现了美国通胀收缩下经济软着陆的可能性，国内社融数据大幅低于预期， 全球经济衰退逻辑仍未交易结束，警惕宏观情绪反复多变。锌矿TC费率低迷，冶炼厂在生产利润亏损压力下部分厂家主动减产检修，精炼锌产量下降明显，进口锌少量补充，交易所仓单提单情绪积极，交易所库存+社会库存保持去库态势，下游加工消费依旧疲弱，金九银十旺季效应等待证伪。宏观情绪反复，基本面上看，上游保持供应紧张，中游负利润反馈主动减停产，下游消费疲软但有旺季乐观消费预期支撑，前期锌价快速走跌，下游点价接货积极，短期锌价偏强震荡，谨慎做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667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：维持震荡偏强，高度需谨慎</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(1)库存：8月19日，SHFE仓单库存158731吨，减8148吨；LME仓单库存308075吨，减975吨。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(2)精废价差：8月19日，Mysteel精废价差1866，收窄353。目前价差在合理价差1439之上。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美元指数跌穿102至七个月最低，继续提振短期铜价，关注本周的全球央行年会、以及随后陆续公布的美国制造业、就业等数据，数据的好坏仍将继续影响宏观交易逻辑的转变。基本面，国内库存继续去化，现货转升水为短期价格提供动力，但考虑到需求依旧疲弱且宏观仍有不确定性，预计价格继续上行空间有限，关注75000一线压力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9528"/>
      <w:r>
        <w:rPr>
          <w:rFonts w:hint="eastAsia" w:ascii="楷体" w:hAnsi="楷体" w:eastAsia="楷体"/>
          <w:b/>
          <w:color w:val="000000" w:themeColor="text1"/>
          <w:sz w:val="24"/>
          <w:szCs w:val="24"/>
          <w14:textFill>
            <w14:solidFill>
              <w14:schemeClr w14:val="tx1"/>
            </w14:solidFill>
          </w14:textFill>
        </w:rPr>
        <w:t>镍：供需缺乏明显驱动，或围绕成本线震荡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零售数据环比反弹及上周初申请失业金人数不及预期，反映美国经济具有韧性，削弱衰退预期，宏观情绪边际回暖。镍矿方面，印尼镍矿供应仍受到天气干扰，向菲律宾进口镍矿数量继续上升，镍矿价格维持坚挺。硫酸镍方面，近日中间品价格企稳为硫酸镍带来成本支撑，而受困于库存高企，新能源汽车需求边际回暖难以传导至硫酸镍，预计硫酸镍价格持稳为主。据Mysteel数据，高冰镍一体化生产精炼镍成本为12.7万元/吨。供需方面，镍供需未发生明显变化，过剩格局下库存维持趋势性累库。综合而言，经济衰退预期放缓，镍供需未有明显边际驱动，印尼镍矿供应维持受阻带来底部支撑，短期镍价或者高冰镍一体化成本线附近震荡运行。</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2719"/>
      <w:r>
        <w:rPr>
          <w:rFonts w:hint="eastAsia" w:ascii="楷体" w:hAnsi="楷体" w:eastAsia="楷体"/>
          <w:b/>
          <w:color w:val="000000" w:themeColor="text1"/>
          <w:sz w:val="24"/>
          <w:szCs w:val="24"/>
          <w14:textFill>
            <w14:solidFill>
              <w14:schemeClr w14:val="tx1"/>
            </w14:solidFill>
          </w14:textFill>
        </w:rPr>
        <w:t>不锈钢：下游需求不佳，低位震荡为主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不锈钢厂在亏损明显和需求不畅情况下向镍铁压价，负反馈使得近日镍铁价格下调至1005-1010元/镍附近，但考虑到镍矿成本坚挺、镍铁供需健康，镍铁价格继续下跌空间有限。供应方面，8月不锈钢厂排产高位环增，暂未闻减产消息。需求方面，现货市场悲观情绪蔓延，成交氛围冷清。库存方面，上周社库微降0.47%至108.5万吨。综合而言，下游需求不佳，市场悲观情绪逐渐蔓延，高位库存消化能力缓慢，不锈钢期价缺乏上行驱动，但钢厂已明显亏损，镍铁价格下调幅度有限，期价继续深跌动能不足，预计低位震荡为主，有效反弹需要等待钢厂减产动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531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宽松格局暂未扭转，反弹高度或受限</w:t>
      </w:r>
      <w:bookmarkEnd w:id="25"/>
    </w:p>
    <w:p>
      <w:pPr>
        <w:ind w:left="630" w:leftChars="300"/>
        <w:rPr>
          <w:rFonts w:ascii="楷体" w:hAnsi="楷体" w:eastAsia="楷体"/>
          <w:sz w:val="24"/>
          <w:szCs w:val="24"/>
        </w:rPr>
      </w:pPr>
      <w:r>
        <w:rPr>
          <w:rFonts w:hint="eastAsia" w:ascii="楷体" w:hAnsi="楷体" w:eastAsia="楷体"/>
          <w:sz w:val="24"/>
          <w:szCs w:val="24"/>
        </w:rPr>
        <w:t>8月19日，Si2411主力合约呈下行走势，收盘价9470元/吨，较上一收盘价涨跌幅-1.35%。上周盘面再度大幅下探，较多期现商出货价格与工厂报价相比有较大优势，且市场价格已跌破较多工厂生产成本，甚至部分现金流成本，使得下游采购补库意愿有所增加，特别在当前盘面估值整体相对较低水平，短期进一步下跌空间或有限，但宽松格局并未扭转，对盘面大幅反弹仍有压制，后续重点关注仓单注销持续性。策略上，建议谨慎资金暂时观望，若有空单可阶段性逢低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72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499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全钢胎开工快速恢复 天胶下方空间有限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偏强。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3673"/>
      <w:r>
        <w:rPr>
          <w:rFonts w:hint="eastAsia" w:ascii="Times New Roman" w:hAnsi="Times New Roman" w:eastAsia="楷体"/>
          <w:b/>
          <w:color w:val="000000" w:themeColor="text1"/>
          <w:sz w:val="24"/>
          <w:szCs w:val="24"/>
          <w14:textFill>
            <w14:solidFill>
              <w14:schemeClr w14:val="tx1"/>
            </w14:solidFill>
          </w14:textFill>
        </w:rPr>
        <w:t>聚烯烃：需求仍处淡季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997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累库收窄但现货疲弱，期价弱势下探</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昨夜盘主力合约2409下探，收于1277元/吨。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现货方面，现货方面，浮法玻璃华北玻璃大板维持低位至1390元/吨、河北沙河大板现货降至1288元/吨，稳步下行。库存方面，库存方面，玻璃在产企业总库存为6735.62万重量箱，环比上周下降173.38万重量箱。</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6996"/>
      <w:r>
        <w:rPr>
          <w:rFonts w:hint="eastAsia" w:ascii="Times New Roman" w:hAnsi="Times New Roman" w:eastAsia="楷体"/>
          <w:b/>
          <w:color w:val="000000" w:themeColor="text1"/>
          <w:sz w:val="24"/>
          <w:szCs w:val="24"/>
          <w14:textFill>
            <w14:solidFill>
              <w14:schemeClr w14:val="tx1"/>
            </w14:solidFill>
          </w14:textFill>
        </w:rPr>
        <w:t>纯碱：供应缩减无助支撑期价走弱，仍需时间等待供需平衡点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昨夜盘纯碱主力合约弱震荡收盘于1671元/吨。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89.62%，环比下降0.45pct。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568"/>
      <w:r>
        <w:rPr>
          <w:rFonts w:hint="eastAsia" w:ascii="Times New Roman" w:hAnsi="Times New Roman" w:eastAsia="楷体"/>
          <w:b/>
          <w:color w:val="000000" w:themeColor="text1"/>
          <w:sz w:val="24"/>
          <w:szCs w:val="24"/>
          <w14:textFill>
            <w14:solidFill>
              <w14:schemeClr w14:val="tx1"/>
            </w14:solidFill>
          </w14:textFill>
        </w:rPr>
        <w:t>PTA：平衡表累库加剧 后市难言乐观</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 xml:space="preserve"> PTA平衡逐步累库中，驱动不足。供应端后期检修不多，产量仍偏高，需求端织造高温有压力，聚酯有重启计划，负荷持稳，平衡8-9月起逐步累库，供需面缺乏矛盾，短期建议逢高做空思路为主。仅供参考。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7880"/>
      <w:r>
        <w:rPr>
          <w:rFonts w:hint="eastAsia" w:ascii="Times New Roman" w:hAnsi="Times New Roman" w:eastAsia="楷体"/>
          <w:b/>
          <w:color w:val="000000" w:themeColor="text1"/>
          <w:sz w:val="24"/>
          <w:szCs w:val="24"/>
          <w14:textFill>
            <w14:solidFill>
              <w14:schemeClr w14:val="tx1"/>
            </w14:solidFill>
          </w14:textFill>
        </w:rPr>
        <w:t>乙二醇：供需格局短期内变化有限，市场涨跌趋势难有形成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国内供应小幅增量，主港库存小幅累积，然聚酯端产销恢复，刚性需求稳定，外围不稳定因素较多市场情绪不稳，短期 国内乙二醇市场弱势震荡为主。仅供参考。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2875"/>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1194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华北现货止跌回升带动期价反弹</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结构转为近强远弱，近月更多受现货基差支撑，虽华北与东北产区现货持续弱势，但东北产区依然升水盘面，更为重要的是，在产区现货持续回落过程中，中下游环节包括南北方港口、深加工与养殖企业库存均出现较大幅度下滑，这或许表明市场去库压力并不大，更多源于下游接货意愿不强，而这又基于新作上市压力的担忧，这也是远月合约相对弱势的主要原因。在这种情况下，需要特别留意后期新旧作衔接的问题。综上所述，我们维持谨慎看多观点，建议谨慎投资者观望，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略有走扩，主要源于行业供需趋于改善，即行业库存出现下滑。考虑到副产品端因外盘美豆带动国内蛋白粕继续弱势，接下来重点留意原料成本端，因其利空持续释放，再加上淀粉现货基差高企，而盘面生产利润为负，淀粉-玉米价差有望继续走扩。综上所述，我们维持谨慎看多观点，建议谨慎投资者观望或持有做扩淀粉-玉米价差，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6438"/>
      <w:r>
        <w:rPr>
          <w:rFonts w:hint="eastAsia" w:ascii="楷体" w:hAnsi="楷体" w:eastAsia="楷体"/>
          <w:b/>
          <w:bCs/>
          <w:color w:val="000000" w:themeColor="text1"/>
          <w14:textFill>
            <w14:solidFill>
              <w14:schemeClr w14:val="tx1"/>
            </w14:solidFill>
          </w14:textFill>
        </w:rPr>
        <w:t>畜禽养殖：鸡蛋期价窄幅震荡</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表现为近强远弱，近月更多受现货和基差支撑，而远月弱势主要源于两个方面，其一是供应恢复的预期，使得市场担心出现过去两年春节前现货大跌的情况，这主要体现在11月和1月合约上，其二是饲料成本的下跌，结合供需改善预期，使得市场对春节后合约更趋悲观。在理解盘面的基础上看，远月关注供需改善幅度及其饲料成本预期，考虑到远月期价多在成本线上方，目前证伪难度较大；近月更多关注节奏，特别是生猪出栏恢复的进度与生猪出栏体重的变化，这里面需要跟过去两年做个比较，2022年更多源于市场压栏和新冠疫情，2023年更多源于非瘟疫情和资金链因素。与过去两年相比，当前生猪出栏体重逼近2022年，再加上近期肥标价差出现较大回落，使得市场担心现货高点已经出现，有望带动一波出栏，继而通过现货带动期价回落，但也暂不宜过分悲观，因今年新生仔猪数量底部出现在3-4月，对应生猪出栏量大致在9-10月。综上所述，我们转为中性观点，建议投资者前期近月合约多单离场后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期货盘面表现来看，与生猪相似，整体表现为近强远弱，近月更多受现货和基差支撑，而远月弱势主要源于两个方面，其一是供应恢复的预期，这可以从大小蛋价差处于历史高位得到印证，其二是饲料成本的下跌，在同等利润水平下鸡蛋现货绝对价格更低。从市场逻辑出发，主要关注这两个方面会否存在问题，后者即饲料成本目前看豆粕和玉米依然弱势，暂时无法证伪，但前者可能存在问题，今年年后以来现货整体表现强于预期，应该更多源于供应端的因素，这可能源于春节前后补栏积极性下降而淘汰积极性上升，因当时蛋鸡苗价格处于历史低位，而多家机构数据均显示去年底以来蛋鸡淘汰量同比大幅增加。而就当下而言，鸡蛋现货仍处于季节性旺季阶段，虽然市场预期悲观，但现货持续坚挺，虽绝对价格尚未超过往年同期，但对应的养殖利润已是历史同期最高水平，因此，我们基于现货基差支撑，仍相对看好近月合约。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1044"/>
      <w:r>
        <w:rPr>
          <w:rFonts w:hint="eastAsia" w:ascii="楷体" w:hAnsi="楷体" w:eastAsia="楷体"/>
          <w:b/>
          <w:bCs/>
          <w:color w:val="000000" w:themeColor="text1"/>
          <w14:textFill>
            <w14:solidFill>
              <w14:schemeClr w14:val="tx1"/>
            </w14:solidFill>
          </w14:textFill>
        </w:rPr>
        <w:t>白糖：区间震荡</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隔日外盘纽约原糖主力合约和伦敦白砂糖主力合约分别下跌0.44%和0.89%。据外电8月19日消息，巴西对外贸易秘书处( Secex ）公布的出口数据显示，巴西8月前三周出口糖1945586.03吨，日均出口量为162132.17吨，较上年8月的日均出口量157757.27吨增加2.77%。国内隔日夜盘，白糖主力01合约上涨0.02%。新季存在丰产压制，但基差过大，不建议过度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801"/>
      <w:r>
        <w:rPr>
          <w:rFonts w:hint="eastAsia" w:ascii="楷体" w:hAnsi="楷体" w:eastAsia="楷体"/>
          <w:b/>
          <w:bCs/>
          <w:color w:val="000000" w:themeColor="text1"/>
          <w14:textFill>
            <w14:solidFill>
              <w14:schemeClr w14:val="tx1"/>
            </w14:solidFill>
          </w14:textFill>
        </w:rPr>
        <w:t>棉花：预计郑棉震荡偏强，尝试收复13500关口</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因优良率下降，隔日外盘ICE美棉主力上涨2.29%。美国农业部（ USDA ）在每周作物生长报告中公布称，截至2024年8月18日当周，美国棉花优良率为42%，前一周为46%，上年同期为33%。截至当周，美国棉花结铃率为84%，上一周为74%，上年同期为78%，五年均值为81%。截至当周，美国棉花盛铃率为19%，上一周为13%，上年同期为17%，五年均值为17%。国内隔日夜盘，郑棉主力2501主力合约上涨1.12%。随着金九的临近，纺织订单出现边际回暖，不过由于原料棉花的大幅下跌，纱线价格尚未能够止跌。郑棉在长期下滑过程中大量利空释放，盘面也积累了大量空头获利资金。近期技术指标略有好转，若空头止盈，叠加订单的边际回暖，2501主力合约或将尝试收复13500元/吨关口。但进口棉花棉纱维持高位，新季丰产预期未改，反弹高度受限。</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1482"/>
      <w:r>
        <w:rPr>
          <w:rFonts w:hint="eastAsia" w:ascii="楷体" w:hAnsi="楷体" w:eastAsia="楷体"/>
          <w:b/>
          <w:bCs/>
          <w:color w:val="000000" w:themeColor="text1"/>
          <w14:textFill>
            <w14:solidFill>
              <w14:schemeClr w14:val="tx1"/>
            </w14:solidFill>
          </w14:textFill>
        </w:rPr>
        <w:t>蛋白粕：油料库存减少，期价低位反弹</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据Mysteel调查数据显示，2024年第33周，全国主要油厂大豆库存下降，豆粕库存上升，未执行合同下降。其中大豆库存704.75万吨，较上周减少10.03万吨，减幅1.40%，</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同比去年增加183.40万吨，增幅35.18%。沿海地区主要油厂菜籽库存49.4万吨，环比上周减少3.30万吨;菜粕库存2.35万吨，环比上周增加0.50万吨;未执行合同为25.6万吨，环比上周增加1.80万吨。油料库存压力较此前减轻，叠加价格低位，期价反弹。但库存压力相比去年同期依旧较大，上涨动力不足，尤其是粕类库存仍在增加，建议逢高抛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9926"/>
      <w:r>
        <w:rPr>
          <w:rFonts w:hint="eastAsia" w:ascii="楷体" w:hAnsi="楷体" w:eastAsia="楷体"/>
          <w:b/>
          <w:bCs/>
          <w:color w:val="000000" w:themeColor="text1"/>
          <w14:textFill>
            <w14:solidFill>
              <w14:schemeClr w14:val="tx1"/>
            </w14:solidFill>
          </w14:textFill>
        </w:rPr>
        <w:t>油脂类：油脂全线反弹，但预计反弹幅度有限</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昨日夜盘豆油上涨0.3%，菜油上涨0.62%，棕榈油上涨0.50%。截至2024年8月16日 ，全国重点地区豆油、棕榈油、菜油三大油脂商业库存总量为212.05万吨，较上周增加0.845万吨，增幅0.40%;同比2023年第33周三大油脂商业库存208.24万吨增加3.81万吨，增幅1.83%，国内油脂库存仍在累积。随着双节临近，油脂逐渐进入传统需求旺季，库存压力有望减轻。但目前受成本端油料低价影响，油脂上涨动力不足。短期内预计油脂震荡运行，暂维持观望态度。</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32329"/>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9854"/>
      <w:r>
        <w:rPr>
          <w:rFonts w:hint="eastAsia" w:ascii="Times New Roman" w:hAnsi="Times New Roman" w:eastAsia="楷体"/>
          <w:b/>
          <w:color w:val="000000" w:themeColor="text1"/>
          <w:sz w:val="24"/>
          <w:szCs w:val="24"/>
          <w14:textFill>
            <w14:solidFill>
              <w14:schemeClr w14:val="tx1"/>
            </w14:solidFill>
          </w14:textFill>
        </w:rPr>
        <w:t>集运指数（欧线）：欧线运力环比上升，期价下跌</w:t>
      </w:r>
      <w:bookmarkEnd w:id="42"/>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7.53%至2526.0。新船交付及船司加班船因素影响下，欧线运力环比上升，且由于货量季节性回落，现货运价下跌带动期价回调。8月16日，SCFI上海港出口至欧洲基本港市场运价（海运及海运附加费）为4610美元/TEU，较上期下跌3.7%。此前欧元区PMI景气度表现相对偏弱，欧元区ZEW经济景气指数下行至17.9，欧洲经济基本面存在走弱预期。现货回落预期再起，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98426751"/>
      <w:bookmarkStart w:id="45" w:name="_Toc12779"/>
      <w:bookmarkStart w:id="46" w:name="_Toc72481108"/>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2024年8月20日星期二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2024-08-20T02:31:15Z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