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8" w:name="_GoBack"/>
          <w:bookmarkEnd w:id="48"/>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_Toc25607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_Toc28315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_Toc17080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_Toc5826 </w:instrText>
          </w:r>
          <w:r>
            <w:rPr>
              <w:bCs/>
            </w:rPr>
            <w:fldChar w:fldCharType="separate"/>
          </w:r>
          <w:r>
            <w:rPr>
              <w:rFonts w:hint="eastAsia" w:ascii="Times New Roman" w:hAnsi="Times New Roman" w:eastAsia="楷体"/>
              <w:szCs w:val="24"/>
            </w:rPr>
            <w:t>贵金属：海外衰退预期加剧股市汇市动荡，贵金属价格下跌</w:t>
          </w:r>
          <w:r>
            <w:rPr>
              <w:bCs/>
            </w:rPr>
            <w:fldChar w:fldCharType="end"/>
          </w:r>
        </w:p>
        <w:p>
          <w:pPr>
            <w:pStyle w:val="59"/>
            <w:tabs>
              <w:tab w:val="right" w:leader="dot" w:pos="8306"/>
            </w:tabs>
          </w:pPr>
          <w:r>
            <w:rPr>
              <w:bCs/>
            </w:rPr>
            <w:fldChar w:fldCharType="begin"/>
          </w:r>
          <w:r>
            <w:rPr>
              <w:bCs/>
            </w:rPr>
            <w:instrText xml:space="preserve"> HYPERLINK \l _Toc26033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_Toc9008 </w:instrText>
          </w:r>
          <w:r>
            <w:rPr>
              <w:bCs/>
            </w:rPr>
            <w:fldChar w:fldCharType="separate"/>
          </w:r>
          <w:r>
            <w:rPr>
              <w:rFonts w:hint="eastAsia" w:ascii="楷体" w:hAnsi="楷体" w:eastAsia="楷体"/>
              <w:szCs w:val="24"/>
            </w:rPr>
            <w:t>碳酸锂：周度库存上升，期价小幅反弹</w:t>
          </w:r>
          <w:r>
            <w:rPr>
              <w:bCs/>
            </w:rPr>
            <w:fldChar w:fldCharType="end"/>
          </w:r>
        </w:p>
        <w:p>
          <w:pPr>
            <w:pStyle w:val="74"/>
            <w:tabs>
              <w:tab w:val="right" w:leader="dot" w:pos="8306"/>
            </w:tabs>
          </w:pPr>
          <w:r>
            <w:rPr>
              <w:bCs/>
            </w:rPr>
            <w:fldChar w:fldCharType="begin"/>
          </w:r>
          <w:r>
            <w:rPr>
              <w:bCs/>
            </w:rPr>
            <w:instrText xml:space="preserve"> HYPERLINK \l _Toc2432 </w:instrText>
          </w:r>
          <w:r>
            <w:rPr>
              <w:bCs/>
            </w:rPr>
            <w:fldChar w:fldCharType="separate"/>
          </w:r>
          <w:r>
            <w:rPr>
              <w:rFonts w:hint="eastAsia" w:ascii="楷体" w:hAnsi="楷体" w:eastAsia="楷体"/>
              <w:szCs w:val="24"/>
            </w:rPr>
            <w:t>铝：全球股灾引发市场悲观情绪，铝价承压运行</w:t>
          </w:r>
          <w:r>
            <w:rPr>
              <w:bCs/>
            </w:rPr>
            <w:fldChar w:fldCharType="end"/>
          </w:r>
        </w:p>
        <w:p>
          <w:pPr>
            <w:pStyle w:val="74"/>
            <w:tabs>
              <w:tab w:val="right" w:leader="dot" w:pos="8306"/>
            </w:tabs>
          </w:pPr>
          <w:r>
            <w:rPr>
              <w:bCs/>
            </w:rPr>
            <w:fldChar w:fldCharType="begin"/>
          </w:r>
          <w:r>
            <w:rPr>
              <w:bCs/>
            </w:rPr>
            <w:instrText xml:space="preserve"> HYPERLINK \l _Toc24857 </w:instrText>
          </w:r>
          <w:r>
            <w:rPr>
              <w:bCs/>
            </w:rPr>
            <w:fldChar w:fldCharType="separate"/>
          </w:r>
          <w:r>
            <w:rPr>
              <w:rFonts w:hint="eastAsia" w:ascii="楷体" w:hAnsi="楷体" w:eastAsia="楷体"/>
              <w:szCs w:val="24"/>
            </w:rPr>
            <w:t>锌：宏观弱势压制锌价</w:t>
          </w:r>
          <w:r>
            <w:rPr>
              <w:bCs/>
            </w:rPr>
            <w:fldChar w:fldCharType="end"/>
          </w:r>
        </w:p>
        <w:p>
          <w:pPr>
            <w:pStyle w:val="74"/>
            <w:tabs>
              <w:tab w:val="right" w:leader="dot" w:pos="8306"/>
            </w:tabs>
          </w:pPr>
          <w:r>
            <w:rPr>
              <w:bCs/>
            </w:rPr>
            <w:fldChar w:fldCharType="begin"/>
          </w:r>
          <w:r>
            <w:rPr>
              <w:bCs/>
            </w:rPr>
            <w:instrText xml:space="preserve"> HYPERLINK \l _Toc17891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：偏弱运行</w:t>
          </w:r>
          <w:r>
            <w:rPr>
              <w:bCs/>
            </w:rPr>
            <w:fldChar w:fldCharType="end"/>
          </w:r>
        </w:p>
        <w:p>
          <w:pPr>
            <w:pStyle w:val="74"/>
            <w:tabs>
              <w:tab w:val="right" w:leader="dot" w:pos="8306"/>
            </w:tabs>
          </w:pPr>
          <w:r>
            <w:rPr>
              <w:bCs/>
            </w:rPr>
            <w:fldChar w:fldCharType="begin"/>
          </w:r>
          <w:r>
            <w:rPr>
              <w:bCs/>
            </w:rPr>
            <w:instrText xml:space="preserve"> HYPERLINK \l _Toc29493 </w:instrText>
          </w:r>
          <w:r>
            <w:rPr>
              <w:bCs/>
            </w:rPr>
            <w:fldChar w:fldCharType="separate"/>
          </w:r>
          <w:r>
            <w:rPr>
              <w:rFonts w:hint="eastAsia" w:ascii="楷体" w:hAnsi="楷体" w:eastAsia="楷体"/>
              <w:szCs w:val="24"/>
            </w:rPr>
            <w:t>镍：衰退预期再起，镍价或偏弱运行</w:t>
          </w:r>
          <w:r>
            <w:rPr>
              <w:bCs/>
            </w:rPr>
            <w:fldChar w:fldCharType="end"/>
          </w:r>
        </w:p>
        <w:p>
          <w:pPr>
            <w:pStyle w:val="74"/>
            <w:tabs>
              <w:tab w:val="right" w:leader="dot" w:pos="8306"/>
            </w:tabs>
          </w:pPr>
          <w:r>
            <w:rPr>
              <w:bCs/>
            </w:rPr>
            <w:fldChar w:fldCharType="begin"/>
          </w:r>
          <w:r>
            <w:rPr>
              <w:bCs/>
            </w:rPr>
            <w:instrText xml:space="preserve"> HYPERLINK \l _Toc15579 </w:instrText>
          </w:r>
          <w:r>
            <w:rPr>
              <w:bCs/>
            </w:rPr>
            <w:fldChar w:fldCharType="separate"/>
          </w:r>
          <w:r>
            <w:rPr>
              <w:rFonts w:hint="eastAsia" w:ascii="楷体" w:hAnsi="楷体" w:eastAsia="楷体"/>
              <w:szCs w:val="24"/>
            </w:rPr>
            <w:t>不锈钢：原料支撑显现，但宏观及供需制约上行空间</w:t>
          </w:r>
          <w:r>
            <w:rPr>
              <w:bCs/>
            </w:rPr>
            <w:fldChar w:fldCharType="end"/>
          </w:r>
        </w:p>
        <w:p>
          <w:pPr>
            <w:pStyle w:val="74"/>
            <w:tabs>
              <w:tab w:val="right" w:leader="dot" w:pos="8306"/>
            </w:tabs>
          </w:pPr>
          <w:r>
            <w:rPr>
              <w:bCs/>
            </w:rPr>
            <w:fldChar w:fldCharType="begin"/>
          </w:r>
          <w:r>
            <w:rPr>
              <w:bCs/>
            </w:rPr>
            <w:instrText xml:space="preserve"> HYPERLINK \l _Toc32006 </w:instrText>
          </w:r>
          <w:r>
            <w:rPr>
              <w:bCs/>
            </w:rPr>
            <w:fldChar w:fldCharType="separate"/>
          </w:r>
          <w:r>
            <w:rPr>
              <w:rFonts w:hint="eastAsia" w:ascii="楷体" w:hAnsi="楷体" w:eastAsia="楷体"/>
              <w:szCs w:val="24"/>
            </w:rPr>
            <w:t>工业硅：暂无明显单边驱动，短期或延续震荡</w:t>
          </w:r>
          <w:r>
            <w:rPr>
              <w:bCs/>
            </w:rPr>
            <w:fldChar w:fldCharType="end"/>
          </w:r>
        </w:p>
        <w:p>
          <w:pPr>
            <w:pStyle w:val="59"/>
            <w:tabs>
              <w:tab w:val="right" w:leader="dot" w:pos="8306"/>
            </w:tabs>
          </w:pPr>
          <w:r>
            <w:rPr>
              <w:bCs/>
            </w:rPr>
            <w:fldChar w:fldCharType="begin"/>
          </w:r>
          <w:r>
            <w:rPr>
              <w:bCs/>
            </w:rPr>
            <w:instrText xml:space="preserve"> HYPERLINK \l _Toc28512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_Toc8499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成本端企稳 胶价下方空间有限</w:t>
          </w:r>
          <w:r>
            <w:rPr>
              <w:bCs/>
            </w:rPr>
            <w:fldChar w:fldCharType="end"/>
          </w:r>
        </w:p>
        <w:p>
          <w:pPr>
            <w:pStyle w:val="74"/>
            <w:tabs>
              <w:tab w:val="right" w:leader="dot" w:pos="8306"/>
            </w:tabs>
          </w:pPr>
          <w:r>
            <w:rPr>
              <w:bCs/>
            </w:rPr>
            <w:fldChar w:fldCharType="begin"/>
          </w:r>
          <w:r>
            <w:rPr>
              <w:bCs/>
            </w:rPr>
            <w:instrText xml:space="preserve"> HYPERLINK \l _Toc19648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_Toc13302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实际利润过低下行空间不大，或保持弱震荡</w:t>
          </w:r>
          <w:r>
            <w:rPr>
              <w:bCs/>
            </w:rPr>
            <w:fldChar w:fldCharType="end"/>
          </w:r>
        </w:p>
        <w:p>
          <w:pPr>
            <w:pStyle w:val="74"/>
            <w:tabs>
              <w:tab w:val="right" w:leader="dot" w:pos="8306"/>
            </w:tabs>
          </w:pPr>
          <w:r>
            <w:rPr>
              <w:bCs/>
            </w:rPr>
            <w:fldChar w:fldCharType="begin"/>
          </w:r>
          <w:r>
            <w:rPr>
              <w:bCs/>
            </w:rPr>
            <w:instrText xml:space="preserve"> HYPERLINK \l _Toc31215 </w:instrText>
          </w:r>
          <w:r>
            <w:rPr>
              <w:bCs/>
            </w:rPr>
            <w:fldChar w:fldCharType="separate"/>
          </w:r>
          <w:r>
            <w:rPr>
              <w:rFonts w:hint="eastAsia" w:ascii="Times New Roman" w:hAnsi="Times New Roman" w:eastAsia="楷体"/>
              <w:szCs w:val="24"/>
            </w:rPr>
            <w:t>纯碱：超跌反弹后供需并未改善，重回下行区间</w:t>
          </w:r>
          <w:r>
            <w:rPr>
              <w:bCs/>
            </w:rPr>
            <w:fldChar w:fldCharType="end"/>
          </w:r>
        </w:p>
        <w:p>
          <w:pPr>
            <w:pStyle w:val="74"/>
            <w:tabs>
              <w:tab w:val="right" w:leader="dot" w:pos="8306"/>
            </w:tabs>
          </w:pPr>
          <w:r>
            <w:rPr>
              <w:bCs/>
            </w:rPr>
            <w:fldChar w:fldCharType="begin"/>
          </w:r>
          <w:r>
            <w:rPr>
              <w:bCs/>
            </w:rPr>
            <w:instrText xml:space="preserve"> HYPERLINK \l _Toc18855 </w:instrText>
          </w:r>
          <w:r>
            <w:rPr>
              <w:bCs/>
            </w:rPr>
            <w:fldChar w:fldCharType="separate"/>
          </w:r>
          <w:r>
            <w:rPr>
              <w:rFonts w:hint="eastAsia" w:ascii="Times New Roman" w:hAnsi="Times New Roman" w:eastAsia="楷体"/>
              <w:szCs w:val="24"/>
            </w:rPr>
            <w:t>PTA：跟随成本期价震荡偏强</w:t>
          </w:r>
          <w:r>
            <w:rPr>
              <w:bCs/>
            </w:rPr>
            <w:fldChar w:fldCharType="end"/>
          </w:r>
        </w:p>
        <w:p>
          <w:pPr>
            <w:pStyle w:val="74"/>
            <w:tabs>
              <w:tab w:val="right" w:leader="dot" w:pos="8306"/>
            </w:tabs>
          </w:pPr>
          <w:r>
            <w:rPr>
              <w:bCs/>
            </w:rPr>
            <w:fldChar w:fldCharType="begin"/>
          </w:r>
          <w:r>
            <w:rPr>
              <w:bCs/>
            </w:rPr>
            <w:instrText xml:space="preserve"> HYPERLINK \l _Toc30795 </w:instrText>
          </w:r>
          <w:r>
            <w:rPr>
              <w:bCs/>
            </w:rPr>
            <w:fldChar w:fldCharType="separate"/>
          </w:r>
          <w:r>
            <w:rPr>
              <w:rFonts w:hint="eastAsia" w:ascii="Times New Roman" w:hAnsi="Times New Roman" w:eastAsia="楷体"/>
              <w:szCs w:val="24"/>
            </w:rPr>
            <w:t>乙二醇：供需去库 期价震荡偏强</w:t>
          </w:r>
          <w:r>
            <w:rPr>
              <w:bCs/>
            </w:rPr>
            <w:fldChar w:fldCharType="end"/>
          </w:r>
        </w:p>
        <w:p>
          <w:pPr>
            <w:pStyle w:val="59"/>
            <w:tabs>
              <w:tab w:val="right" w:leader="dot" w:pos="8306"/>
            </w:tabs>
          </w:pPr>
          <w:r>
            <w:rPr>
              <w:bCs/>
            </w:rPr>
            <w:fldChar w:fldCharType="begin"/>
          </w:r>
          <w:r>
            <w:rPr>
              <w:bCs/>
            </w:rPr>
            <w:instrText xml:space="preserve"> HYPERLINK \l _Toc19174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_Toc20397 </w:instrText>
          </w:r>
          <w:r>
            <w:rPr>
              <w:bCs/>
            </w:rPr>
            <w:fldChar w:fldCharType="separate"/>
          </w:r>
          <w:r>
            <w:rPr>
              <w:rFonts w:hint="eastAsia" w:ascii="楷体" w:hAnsi="楷体" w:eastAsia="楷体"/>
              <w:bCs/>
            </w:rPr>
            <w:t>玉米与淀粉：</w:t>
          </w:r>
          <w:r>
            <w:rPr>
              <w:rFonts w:hint="eastAsia" w:ascii="楷体" w:hAnsi="楷体" w:eastAsia="楷体"/>
            </w:rPr>
            <w:t>期价继续跌势</w:t>
          </w:r>
          <w:r>
            <w:rPr>
              <w:bCs/>
            </w:rPr>
            <w:fldChar w:fldCharType="end"/>
          </w:r>
        </w:p>
        <w:p>
          <w:pPr>
            <w:pStyle w:val="74"/>
            <w:tabs>
              <w:tab w:val="right" w:leader="dot" w:pos="8306"/>
            </w:tabs>
          </w:pPr>
          <w:r>
            <w:rPr>
              <w:bCs/>
            </w:rPr>
            <w:fldChar w:fldCharType="begin"/>
          </w:r>
          <w:r>
            <w:rPr>
              <w:bCs/>
            </w:rPr>
            <w:instrText xml:space="preserve"> HYPERLINK \l _Toc17154 </w:instrText>
          </w:r>
          <w:r>
            <w:rPr>
              <w:bCs/>
            </w:rPr>
            <w:fldChar w:fldCharType="separate"/>
          </w:r>
          <w:r>
            <w:rPr>
              <w:rFonts w:hint="eastAsia" w:ascii="楷体" w:hAnsi="楷体" w:eastAsia="楷体"/>
              <w:bCs/>
            </w:rPr>
            <w:t>畜禽养殖：生猪近月期价突破前高</w:t>
          </w:r>
          <w:r>
            <w:rPr>
              <w:bCs/>
            </w:rPr>
            <w:fldChar w:fldCharType="end"/>
          </w:r>
        </w:p>
        <w:p>
          <w:pPr>
            <w:pStyle w:val="74"/>
            <w:tabs>
              <w:tab w:val="right" w:leader="dot" w:pos="8306"/>
            </w:tabs>
          </w:pPr>
          <w:r>
            <w:rPr>
              <w:bCs/>
            </w:rPr>
            <w:fldChar w:fldCharType="begin"/>
          </w:r>
          <w:r>
            <w:rPr>
              <w:bCs/>
            </w:rPr>
            <w:instrText xml:space="preserve"> HYPERLINK \l _Toc15795 </w:instrText>
          </w:r>
          <w:r>
            <w:rPr>
              <w:bCs/>
            </w:rPr>
            <w:fldChar w:fldCharType="separate"/>
          </w:r>
          <w:r>
            <w:rPr>
              <w:rFonts w:hint="eastAsia" w:ascii="楷体" w:hAnsi="楷体" w:eastAsia="楷体"/>
              <w:bCs/>
            </w:rPr>
            <w:t>白糖：区间波段式震荡整理，高抛空单继续持有</w:t>
          </w:r>
          <w:r>
            <w:rPr>
              <w:bCs/>
            </w:rPr>
            <w:fldChar w:fldCharType="end"/>
          </w:r>
        </w:p>
        <w:p>
          <w:pPr>
            <w:pStyle w:val="74"/>
            <w:tabs>
              <w:tab w:val="right" w:leader="dot" w:pos="8306"/>
            </w:tabs>
          </w:pPr>
          <w:r>
            <w:rPr>
              <w:bCs/>
            </w:rPr>
            <w:fldChar w:fldCharType="begin"/>
          </w:r>
          <w:r>
            <w:rPr>
              <w:bCs/>
            </w:rPr>
            <w:instrText xml:space="preserve"> HYPERLINK \l _Toc641 </w:instrText>
          </w:r>
          <w:r>
            <w:rPr>
              <w:bCs/>
            </w:rPr>
            <w:fldChar w:fldCharType="separate"/>
          </w:r>
          <w:r>
            <w:rPr>
              <w:rFonts w:hint="eastAsia" w:ascii="楷体" w:hAnsi="楷体" w:eastAsia="楷体"/>
              <w:bCs/>
            </w:rPr>
            <w:t>棉花：预计郑棉震荡偏弱</w:t>
          </w:r>
          <w:r>
            <w:rPr>
              <w:bCs/>
            </w:rPr>
            <w:fldChar w:fldCharType="end"/>
          </w:r>
        </w:p>
        <w:p>
          <w:pPr>
            <w:pStyle w:val="74"/>
            <w:tabs>
              <w:tab w:val="right" w:leader="dot" w:pos="8306"/>
            </w:tabs>
          </w:pPr>
          <w:r>
            <w:rPr>
              <w:bCs/>
            </w:rPr>
            <w:fldChar w:fldCharType="begin"/>
          </w:r>
          <w:r>
            <w:rPr>
              <w:bCs/>
            </w:rPr>
            <w:instrText xml:space="preserve"> HYPERLINK \l _Toc15527 </w:instrText>
          </w:r>
          <w:r>
            <w:rPr>
              <w:bCs/>
            </w:rPr>
            <w:fldChar w:fldCharType="separate"/>
          </w:r>
          <w:r>
            <w:rPr>
              <w:rFonts w:hint="eastAsia" w:ascii="楷体" w:hAnsi="楷体" w:eastAsia="楷体"/>
              <w:bCs/>
            </w:rPr>
            <w:t>蛋白粕：需求不佳，粕类再度下挫</w:t>
          </w:r>
          <w:r>
            <w:rPr>
              <w:bCs/>
            </w:rPr>
            <w:fldChar w:fldCharType="end"/>
          </w:r>
        </w:p>
        <w:p>
          <w:pPr>
            <w:pStyle w:val="74"/>
            <w:tabs>
              <w:tab w:val="right" w:leader="dot" w:pos="8306"/>
            </w:tabs>
          </w:pPr>
          <w:r>
            <w:rPr>
              <w:bCs/>
            </w:rPr>
            <w:fldChar w:fldCharType="begin"/>
          </w:r>
          <w:r>
            <w:rPr>
              <w:bCs/>
            </w:rPr>
            <w:instrText xml:space="preserve"> HYPERLINK \l _Toc16116 </w:instrText>
          </w:r>
          <w:r>
            <w:rPr>
              <w:bCs/>
            </w:rPr>
            <w:fldChar w:fldCharType="separate"/>
          </w:r>
          <w:r>
            <w:rPr>
              <w:rFonts w:hint="eastAsia" w:ascii="楷体" w:hAnsi="楷体" w:eastAsia="楷体"/>
              <w:bCs/>
            </w:rPr>
            <w:t>油脂类：整体偏弱，马棕油领跌</w:t>
          </w:r>
          <w:r>
            <w:rPr>
              <w:bCs/>
            </w:rPr>
            <w:fldChar w:fldCharType="end"/>
          </w:r>
        </w:p>
        <w:p>
          <w:pPr>
            <w:pStyle w:val="59"/>
            <w:tabs>
              <w:tab w:val="right" w:leader="dot" w:pos="8306"/>
            </w:tabs>
          </w:pPr>
          <w:r>
            <w:rPr>
              <w:bCs/>
            </w:rPr>
            <w:fldChar w:fldCharType="begin"/>
          </w:r>
          <w:r>
            <w:rPr>
              <w:bCs/>
            </w:rPr>
            <w:instrText xml:space="preserve"> HYPERLINK \l _Toc1660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_Toc25224 </w:instrText>
          </w:r>
          <w:r>
            <w:rPr>
              <w:bCs/>
            </w:rPr>
            <w:fldChar w:fldCharType="separate"/>
          </w:r>
          <w:r>
            <w:rPr>
              <w:rFonts w:hint="eastAsia" w:ascii="Times New Roman" w:hAnsi="Times New Roman" w:eastAsia="楷体"/>
              <w:szCs w:val="24"/>
            </w:rPr>
            <w:t>集运指数（欧线）：现货指数回落现较弱情绪，期价震荡下行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560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831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日央行超预期加息及美国的衰退交易短期或触发全球资本市场异动，对A股市场短期存在一定扰动，筹码方面，市场上的买盘力量 比较单一，缺乏自发性的买盘形成合力，6月中旬以来主要是依靠的是“神秘资金”，超跌反弹后如果市场成交量继续回落至“地量”，则需警惕市场的再度回调。中期看，A股核心仍在于内部信心的修复，当前基本面预期仍锚定在2024年的阶段，市场向上弹性有限，预计三季度总体将保持弱势震荡格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08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5826"/>
      <w:r>
        <w:rPr>
          <w:rFonts w:hint="eastAsia" w:ascii="Times New Roman" w:hAnsi="Times New Roman" w:eastAsia="楷体"/>
          <w:b/>
          <w:color w:val="000000" w:themeColor="text1"/>
          <w:sz w:val="24"/>
          <w:szCs w:val="24"/>
          <w14:textFill>
            <w14:solidFill>
              <w14:schemeClr w14:val="tx1"/>
            </w14:solidFill>
          </w14:textFill>
        </w:rPr>
        <w:t>贵金属：海外衰退预期加剧股市汇市动荡，贵金属价格下跌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1.29%至555.86元/克，沪银跌4.18%至7009元/千克。美国7月ISM非制造业指数51.4，好于预期的51。美国7月标普全球服务业PMI终值55，预期56，初值56。美联储戴利表示，对在即将召开的9月会议上降息持开放态度；美联储将采取一切必要措施，以确保实现双重目标。上周五美国就业数据全面降温，海外衰退预期强化，市场波动加剧。日经225跌12.40%至31458.42，抹除今年以来所有涨幅并且创历史最大单日跌幅，韩国综合指数跌8.8%。对美国经济衰退的担忧引发恐慌性的资产抛售及资本回流，CBOE的VIX波动率指数大幅上涨14.49点至37.88。CME黄金波动率指数上升2.42点至20.39。人民币、日元汇率大幅调升，汇率影响下内盘贵金属价格表现弱于外盘。未来留意美联储是否作出提前降息的相关操作或表态，短线谨慎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2603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9008"/>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碳酸锂：周度库存上升，期价小幅反弹</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反弹，昨日11合约收涨0.99%至81500元/吨。碳酸锂周度库存小幅上升至约12.75万吨，其中上游、下游维持累库，贸易商等中游环节小幅去库。8月5日碳酸锂期货仓单增加2051手至28973手。锂价下行期间，下游采购维持观望心态，成交较少。三元材料7月供应量环比增17%至约5.7万吨，周度开工率约44%，原料库存小幅下调，8月部分三元材料企业排产上行。磷酸铁锂供应略微增长、排产上升，生产利润维持小幅亏损，头部企业开工率维持于4-8成；中部企业开工率维持约3-4成。碳酸锂周度开工率小幅下滑，周度产量略微下行。期价下方面临8万元/吨整数关口支撑，近期或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43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全球股灾引发市场悲观情绪，铝价承压运行</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西方主流经济体经济数据疲弱，国内PMI数据回落至收缩区间，全球经济衰退逻辑确认，联储对9月降息态度偏鸽，降息落地以前市场宏观情绪依旧以悲观担忧为主线。铝土矿供应紧张价格高位，氧化铝现货报价坚挺，电解铝上游传导出电解铝成本仍有支撑的信号，中游冶炼开产高位，目前国内需求仍在淡季，加工企业市场反馈下半年订单减少较多，金九银十旺季效应待证伪，国内交易所+社会库存铝锭库存累积，铝棒顺畅去库，海外库存保持去库节奏。美联储降息落地前，全球经济衰退逻辑持续运行，昨夜全球股灾，宏观情绪持续承压，铝市上游供应紧张但暂未影响中游冶炼开产，电解铝生产供应高位，库存持续累库，短期价格或承压运行，暂看18600-18800下方支撑，中长期对铝用市场消费保持乐观态度，建议短空长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4857"/>
      <w:r>
        <w:rPr>
          <w:rFonts w:hint="eastAsia" w:ascii="楷体" w:hAnsi="楷体" w:eastAsia="楷体"/>
          <w:b/>
          <w:color w:val="000000" w:themeColor="text1"/>
          <w:sz w:val="24"/>
          <w:szCs w:val="24"/>
          <w14:textFill>
            <w14:solidFill>
              <w14:schemeClr w14:val="tx1"/>
            </w14:solidFill>
          </w14:textFill>
        </w:rPr>
        <w:t>锌：宏观弱势压制锌价</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交易逻辑仍未结束，9月份美联储大概率降息，降息前市场情绪预计偏弱。锌矿TC费率持续低迷，冶炼厂负值利润传导，部分地区检修增加，下游企业淡季加工开工率暂无明显提升，临近旺季消费有边际修复预期，实际旺季是否能够到来仍待证伪，现货市场流通货源偏紧， 库存高位去化，宏观压力带领锌价破均线支撑再度下行，基本面支撑依旧有效，短期内锌价低位盘整，关注下方底部形成。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7891"/>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(1)库存：8月5日，SHFE仓单库存197947吨，减3901吨；LME仓单库存251350吨，增4850吨。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(2)精废价差：8月5日，Mysteel精废价差1696，收窄692。目前价差在合理价差1428之上。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综述：短期价格驱动仍来自于宏观层面，上周末非农数据使得市场再次转为衰退交易。国内经济复苏疲弱，ZZJ会议释放政策端利好信号，关注政策预期交易的持续性。基本面， LME库存继续明显累增，整体精炼铜供应仍偏宽松，现货维持贴水状态，短期铜价反弹动力仍有限，偏弱运行为主，关注7万一线支撑。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9493"/>
      <w:r>
        <w:rPr>
          <w:rFonts w:hint="eastAsia" w:ascii="楷体" w:hAnsi="楷体" w:eastAsia="楷体"/>
          <w:b/>
          <w:color w:val="000000" w:themeColor="text1"/>
          <w:sz w:val="24"/>
          <w:szCs w:val="24"/>
          <w14:textFill>
            <w14:solidFill>
              <w14:schemeClr w14:val="tx1"/>
            </w14:solidFill>
          </w14:textFill>
        </w:rPr>
        <w:t>镍：衰退预期再起，镍价或偏弱运行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中美制造业数据走弱，美国就业数据放缓，宏观再度转向经济衰退预期定价，施压有色板块。镍矿方面，印尼及菲律宾雨季恶劣天气使镍矿供应继续受阻，目前镍矿价格仍然坚挺。硫酸镍方面，维持供需双弱情况，成本支撑下硫酸镍价格弱稳为主。据Mytseel数据，高冰镍一体化生产精炼镍工艺的生产成本为128003元/吨。供需方面，随着内外价差收窄，国内电积镍现货增加，国内社库转向累库，此前去库对镍价的支撑减弱。综合而言，镍基本面延续过剩及经济衰退预期对镍价形成压力，不过考虑到镍矿现货供应仍偏紧，镍价从高冰镍一体化成本支撑线继续深跌动能或有限，短期镍价或偏弱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5579"/>
      <w:r>
        <w:rPr>
          <w:rFonts w:hint="eastAsia" w:ascii="楷体" w:hAnsi="楷体" w:eastAsia="楷体"/>
          <w:b/>
          <w:color w:val="000000" w:themeColor="text1"/>
          <w:sz w:val="24"/>
          <w:szCs w:val="24"/>
          <w14:textFill>
            <w14:solidFill>
              <w14:schemeClr w14:val="tx1"/>
            </w14:solidFill>
          </w14:textFill>
        </w:rPr>
        <w:t>不锈钢：原料支撑显现，但宏观及供需制约上行空间</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及菲律宾雨季恶劣天气使镍矿供应继续受阻，目前镍矿价格仍坚挺。镍铁方面，受镍矿影响，国内镍铁供应偏紧，而下游不锈钢厂排产高位，最新高镍铁成交价格多位于1000-1010元/镍。供需方面，不锈钢厂对消费旺季抱以期待，8月不锈钢粗钢排产提升至332.56万吨，月环比增加3.8%，同比增加2.2%，观察后续高产量能否被旺季需求所消化。综合而言，镍矿及镍铁供需偏紧，支撑不锈钢价格，社会库存及仓单库存下降也带来边际提振，但供需压力持续制约价格上方空间，宏观衰退交易也带来利空影响，短期不锈钢主力价格或在13600-14500区间震荡为主，持续关注镍铁价格变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200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暂无明显单边驱动，短期或延续震荡</w:t>
      </w:r>
      <w:bookmarkEnd w:id="25"/>
    </w:p>
    <w:p>
      <w:pPr>
        <w:ind w:left="630" w:leftChars="300"/>
        <w:rPr>
          <w:rFonts w:ascii="楷体" w:hAnsi="楷体" w:eastAsia="楷体"/>
          <w:sz w:val="24"/>
          <w:szCs w:val="24"/>
        </w:rPr>
      </w:pPr>
      <w:r>
        <w:rPr>
          <w:rFonts w:hint="eastAsia" w:ascii="楷体" w:hAnsi="楷体" w:eastAsia="楷体"/>
          <w:sz w:val="24"/>
          <w:szCs w:val="24"/>
        </w:rPr>
        <w:t>8月5日，Si2409主力合约呈震荡走势，收盘价10405元/吨，较上一收盘价涨跌幅-0.05%。盘面已跌破较多工厂生产成本线，供应边际有所收缩，短期盘面或有一定支撑，但主产区开工整体依旧维持高位，叠加后续或存在新增产能投放预期不改，在需求疲软情况下，宽松格局较难迎来扭转，对盘面大幅反弹也存在压制。综合而言，市场暂无明显单边驱动，预计短期盘面或延续震荡运行，参考区间（10000，10600）。策略上，维持波段操作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851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849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成本端企稳 胶价下方空间有限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天然橡胶主力合约震荡反弹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7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9648"/>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3302"/>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实际利润过低下行空间不大，或保持弱震荡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昨夜盘主力合约2409下探，收于1349元/吨。</w:t>
      </w:r>
    </w:p>
    <w:p>
      <w:pPr>
        <w:ind w:left="630" w:leftChars="300"/>
        <w:rPr>
          <w:rFonts w:hint="eastAsia" w:ascii="楷体" w:hAnsi="楷体" w:eastAsia="楷体"/>
          <w:sz w:val="24"/>
          <w:szCs w:val="24"/>
        </w:rPr>
      </w:pPr>
      <w:r>
        <w:rPr>
          <w:rFonts w:hint="eastAsia" w:ascii="楷体" w:hAnsi="楷体" w:eastAsia="楷体"/>
          <w:sz w:val="24"/>
          <w:szCs w:val="24"/>
        </w:rPr>
        <w:t>现货方面，现货方面，浮法玻璃华北玻璃大板维持低位至1390元/吨、河北沙河大板现货降至1300元/吨，稳步下行。库存方面，玻璃在产企业总库存为6909万重量箱，环比上周上升199.88万重量箱。</w:t>
      </w:r>
    </w:p>
    <w:p>
      <w:pPr>
        <w:ind w:left="630" w:leftChars="300"/>
        <w:rPr>
          <w:rFonts w:hint="eastAsia" w:ascii="楷体" w:hAnsi="楷体" w:eastAsia="楷体"/>
          <w:sz w:val="24"/>
          <w:szCs w:val="24"/>
        </w:rPr>
      </w:pPr>
      <w:r>
        <w:rPr>
          <w:rFonts w:hint="eastAsia" w:ascii="楷体" w:hAnsi="楷体" w:eastAsia="楷体"/>
          <w:sz w:val="24"/>
          <w:szCs w:val="24"/>
        </w:rPr>
        <w:t>大多数企业库存增加，原因包括沙河部分企业价格下调、梅雨季和雨季影响、出货欠佳及外围价格下滑。</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31215"/>
      <w:r>
        <w:rPr>
          <w:rFonts w:hint="eastAsia" w:ascii="Times New Roman" w:hAnsi="Times New Roman" w:eastAsia="楷体"/>
          <w:b/>
          <w:color w:val="000000" w:themeColor="text1"/>
          <w:sz w:val="24"/>
          <w:szCs w:val="24"/>
          <w14:textFill>
            <w14:solidFill>
              <w14:schemeClr w14:val="tx1"/>
            </w14:solidFill>
          </w14:textFill>
        </w:rPr>
        <w:t>纯碱：超跌反弹后供需并未改善，重回下行区间</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昨夜盘纯碱主力合约弱震荡收盘于1790元/吨。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本周纯碱行业开工约90.07%，环比上升2%。在需求端，玻璃行业等主要下游市场的需求呈现疲软态势。特别是轻碱市场需求明显下滑，出货难度增加。另外楼市尚未出现明显回暖，各线城市房价仍处于环比下降。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8855"/>
      <w:r>
        <w:rPr>
          <w:rFonts w:hint="eastAsia" w:ascii="Times New Roman" w:hAnsi="Times New Roman" w:eastAsia="楷体"/>
          <w:b/>
          <w:color w:val="000000" w:themeColor="text1"/>
          <w:sz w:val="24"/>
          <w:szCs w:val="24"/>
          <w14:textFill>
            <w14:solidFill>
              <w14:schemeClr w14:val="tx1"/>
            </w14:solidFill>
          </w14:textFill>
        </w:rPr>
        <w:t>PTA：跟随成本期价震荡偏强</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成本端原油及PX方面，原油接近本轮反弹高点，随着地缘冲突缓和及基本面支撑拐点，原油向下概率较大。随着PX集中检修结束，85%的高位开工下现货供应宽松走势承压。本周PTA装置基本上没变动，至周四PTA负荷维持在79.7%（+1.3%）。本周一套聚酯装置例行检修，另一套检修开启，此外短纤装置近期减产有所增多。截至本周四，初步核算国内大陆地区聚酯负荷在85.7%（-0.6%）附近，聚酯负荷小幅回落。综合来看，装置检修回归且后期PTA检修计划偏少，阶段性下游订单不足，涤丝工厂库存压力较大，高温天气下游开工恢复缓慢，供需偏累库。但终端需求韧性尚可，短线跟随成本期价震荡偏强。</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30795"/>
      <w:r>
        <w:rPr>
          <w:rFonts w:hint="eastAsia" w:ascii="Times New Roman" w:hAnsi="Times New Roman" w:eastAsia="楷体"/>
          <w:b/>
          <w:color w:val="000000" w:themeColor="text1"/>
          <w:sz w:val="24"/>
          <w:szCs w:val="24"/>
          <w14:textFill>
            <w14:solidFill>
              <w14:schemeClr w14:val="tx1"/>
            </w14:solidFill>
          </w14:textFill>
        </w:rPr>
        <w:t>乙二醇：供需去库 期价震荡偏强</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7.29华东主港地区MEG港口库存约59.3万吨附近，环比上期下降4.2万吨。近期乙二醇主港到货依旧偏少，显性库存持续去化。截至8月1日，中国大陆地区乙二醇整体开工负荷在63.35%（-1.07%），其中草酸催化加氢法（合成气）制乙二醇开工负荷在60.27%（-7.9%）。截至8月1日，国内大陆地区聚酯负荷在85.7%（-0.6%）附近，聚酯负荷开工小幅下滑。终端来看，江浙终端开工低位维持，截止8.1江浙下游加弹、织造、印染负荷分别在78%（+2%）、64%（-1%）、69%(-1%)。综合来看，兖矿、沃能检修落实，广汇推迟重启、美锦降负乙二醇开工率将明显下降。预估三季度到港偏少维持供需偏紧格局，短期期价震荡偏强，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19174"/>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2039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期价继续跌势</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当前期价结构呈现V型结构，即旧作合约逐步贴水，但新作合约转向升水，其反映市场两个方面的预期，其一是市场对新作供需预期偏乐观，应该更多源于需求特别饲用需求恢复/改善的预期；其二是市场对新作上市压力预期较为强烈，这源于旧作产需缺口迟迟未能体现，市场主体特别是囤粮贸易商新作上市之前需要库存去化，在新作上市之初大概率缺乏补库动力。在这种情况下，接下来重点关注市场降库存背景之下会否出现新旧作供应衔接的问题。综上所述，我们维持谨慎看多观点，但建议投资者暂以观望为宜，待现货止跌后可考虑入场做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方面因素中，行业供需继续趋于偏空，因行业库存持续累积；原料成本存在变数，因华北与东北产区玉米收购价多有下跌；而副产品端有望带来支撑，因美豆带动蛋白粕继续弱势，淀粉副产品缺乏上涨动力，这有望抑制淀粉-玉米价差继续回落空间。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17154"/>
      <w:r>
        <w:rPr>
          <w:rFonts w:hint="eastAsia" w:ascii="楷体" w:hAnsi="楷体" w:eastAsia="楷体"/>
          <w:b/>
          <w:bCs/>
          <w:color w:val="000000" w:themeColor="text1"/>
          <w14:textFill>
            <w14:solidFill>
              <w14:schemeClr w14:val="tx1"/>
            </w14:solidFill>
          </w14:textFill>
        </w:rPr>
        <w:t>畜禽养殖：生猪近月期价突破前高</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目前鸡蛋现货仍处于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7月下半月现货持续回落，可理解为现货市场库存变动所致，考虑到行业供需和季节性因素，进入8月以来现货止跌回升，在基差支撑之下，期价特别是近月有望延续涨势。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5795"/>
      <w:r>
        <w:rPr>
          <w:rFonts w:hint="eastAsia" w:ascii="楷体" w:hAnsi="楷体" w:eastAsia="楷体"/>
          <w:b/>
          <w:bCs/>
          <w:color w:val="000000" w:themeColor="text1"/>
          <w14:textFill>
            <w14:solidFill>
              <w14:schemeClr w14:val="tx1"/>
            </w14:solidFill>
          </w14:textFill>
        </w:rPr>
        <w:t>白糖：区间波段式震荡整理，高抛空单继续持有</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下跌0.77%和0.52%。巴西航运机构Williams发布的数据显示，截至7月31日当周，巴西港口等待装运食糖的船只数量为111艘，此前一周为101艘。港口等待装运的食糖数量为496.69万吨，此前一周为463.89万吨。国内夜盘，白糖09主力合约跌0.23%。在传统旺季的刚需驱使下，终端采购积极性增强，去库存进程加快，库存压力减轻，期价存在一定支撑，但新季存在丰产预期，且近期市场情绪偏空，预计整体区间震荡偏弱。</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641"/>
      <w:r>
        <w:rPr>
          <w:rFonts w:hint="eastAsia" w:ascii="楷体" w:hAnsi="楷体" w:eastAsia="楷体"/>
          <w:b/>
          <w:bCs/>
          <w:color w:val="000000" w:themeColor="text1"/>
          <w14:textFill>
            <w14:solidFill>
              <w14:schemeClr w14:val="tx1"/>
            </w14:solidFill>
          </w14:textFill>
        </w:rPr>
        <w:t>棉花：预计郑棉震荡偏弱</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市场担忧衰退，金融市场普遍暴跌。尽管美棉优良率提升，但隔日夜盘ICE美棉主力依然下跌0.98%再创新低。美国农业部（ USDA ）在每周作物生长报告中公布称，截至2024年8月4日当周，美国棉花优良率为45%，前一周为49%，上年同期为41%。国内夜盘，郑棉2309主力合约下跌1.04%。滑准税配额的数量虽不及预期，但市场悲当前主要交易衰退逻辑，下游“旺季不旺”预期也占据上风，郑棉跳空低开后预计低位震荡或继续走弱。</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5527"/>
      <w:r>
        <w:rPr>
          <w:rFonts w:hint="eastAsia" w:ascii="楷体" w:hAnsi="楷体" w:eastAsia="楷体"/>
          <w:b/>
          <w:bCs/>
          <w:color w:val="000000" w:themeColor="text1"/>
          <w14:textFill>
            <w14:solidFill>
              <w14:schemeClr w14:val="tx1"/>
            </w14:solidFill>
          </w14:textFill>
        </w:rPr>
        <w:t>蛋白粕：需求不佳，粕类再度下挫</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大豆上涨1.28%，国内夜盘豆二下跌0.83%，豆粕下跌1.20%；菜籽上涨0.25%，菜粕下跌2.22%。美元走软使得美国出口更具吸引力，USDA公布数据，截至2024年8月1日当周，美国大豆出口检验量为261203吨，处于预估区间中下水平。昨日国内夜盘豆二主力合约下跌0.83%，豆粕下跌1.20%；菜籽反弹0.25%，菜粕下跌2.22%。目前国内油厂油料供应充足，开机率都维持高位，进而豆粕、菜粕供应充足，粕类价格有一定压力。且短期来看，压力不容易缓解，现货疲软将继续对盘面产生牵制，预计短期粕类近月压力仍然明显。但美豆上涨可能对今日盘面有提振作用，建议暂时观望。</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6116"/>
      <w:r>
        <w:rPr>
          <w:rFonts w:hint="eastAsia" w:ascii="楷体" w:hAnsi="楷体" w:eastAsia="楷体"/>
          <w:b/>
          <w:bCs/>
          <w:color w:val="000000" w:themeColor="text1"/>
          <w14:textFill>
            <w14:solidFill>
              <w14:schemeClr w14:val="tx1"/>
            </w14:solidFill>
          </w14:textFill>
        </w:rPr>
        <w:t>油脂类：整体偏弱，马棕油领跌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0.82%，菜油下跌0.42%，棕榈油下跌1.22%。受宏观层面偏弱影响，市场情绪导致商品整体偏弱，纷纷下跌。但马棕油基本面偏紧，整体而言较为抗跌，尤其是印度需求极其旺盛，7月进口量环比激增39%，有支撑盘面作用。昨日大幅下跌后，可留意低多机会。</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1660"/>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25224"/>
      <w:r>
        <w:rPr>
          <w:rFonts w:hint="eastAsia" w:ascii="Times New Roman" w:hAnsi="Times New Roman" w:eastAsia="楷体"/>
          <w:b/>
          <w:color w:val="000000" w:themeColor="text1"/>
          <w:sz w:val="24"/>
          <w:szCs w:val="24"/>
          <w14:textFill>
            <w14:solidFill>
              <w14:schemeClr w14:val="tx1"/>
            </w14:solidFill>
          </w14:textFill>
        </w:rPr>
        <w:t>集运指数（欧线）：现货指数回落现较弱情绪，期价震荡下行</w:t>
      </w:r>
      <w:bookmarkEnd w:id="42"/>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7月29日，SCFIS欧线指数为6225.65点与上期相比跌1.5%。8月2日，SCFI上海港出口至欧洲基本港市场运价（海运及海运附加费）为4907美元/TEU，较上期下跌1.7%。地中海航线，市场行情与欧洲航线保持同步，市场运价继续走低。短期内运输需求继续维持在高位，但由于中欧贸易面临政策不确定性的考验，即期市场订舱价格小幅回落。</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供给端：2024年上半年集装箱船队运力供给变化如下：累计交付264艘新船，合计运力163.5万TEU；拆解老船36艘，合计51000TEU。</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据欧盟统计局公布的数据显示，7月欧元区经济景气指数为95.8，较上月环比小幅下跌0.1，其中服务业的景气指数降幅较大。目前，欧洲企业对近几个月的商业经营状况更加悲观，加之制造业订单继续表现疲软，未来欧洲经济的复苏前景并不乐观。</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情绪上来看，地缘性消息经常性扰动远月盘面，近期，中东地区的紧张局势又有所升温，未来亚欧航线仍将面临众多风险事件的考验。留意短期风险，建议投资者谨慎操作。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98426751"/>
      <w:bookmarkStart w:id="44" w:name="_Toc71212556"/>
      <w:bookmarkStart w:id="45" w:name="_Toc12779"/>
      <w:bookmarkStart w:id="46" w:name="_Toc72481108"/>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2024年8月6日星期二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7329E7"/>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AF4829"/>
    <w:rsid w:val="4FBA2B77"/>
    <w:rsid w:val="4FD46E6F"/>
    <w:rsid w:val="5005695E"/>
    <w:rsid w:val="50286811"/>
    <w:rsid w:val="50700F42"/>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8C3343"/>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2024-08-06T02:19:26Z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