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48" w:name="_GoBack"/>
          <w:bookmarkEnd w:id="48"/>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_Toc6496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_Toc5355 </w:instrText>
          </w:r>
          <w:r>
            <w:rPr>
              <w:bCs/>
            </w:rPr>
            <w:fldChar w:fldCharType="separate"/>
          </w:r>
          <w:r>
            <w:rPr>
              <w:rFonts w:hint="eastAsia" w:ascii="Times New Roman" w:hAnsi="Times New Roman" w:eastAsia="楷体"/>
              <w:szCs w:val="24"/>
            </w:rPr>
            <w:t>股指：弱势震荡</w:t>
          </w:r>
          <w:r>
            <w:rPr>
              <w:bCs/>
            </w:rPr>
            <w:fldChar w:fldCharType="end"/>
          </w:r>
        </w:p>
        <w:p>
          <w:pPr>
            <w:pStyle w:val="59"/>
            <w:tabs>
              <w:tab w:val="right" w:leader="dot" w:pos="8306"/>
            </w:tabs>
          </w:pPr>
          <w:r>
            <w:rPr>
              <w:bCs/>
            </w:rPr>
            <w:fldChar w:fldCharType="begin"/>
          </w:r>
          <w:r>
            <w:rPr>
              <w:bCs/>
            </w:rPr>
            <w:instrText xml:space="preserve"> HYPERLINK \l _Toc20454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_Toc13644 </w:instrText>
          </w:r>
          <w:r>
            <w:rPr>
              <w:bCs/>
            </w:rPr>
            <w:fldChar w:fldCharType="separate"/>
          </w:r>
          <w:r>
            <w:rPr>
              <w:rFonts w:hint="eastAsia" w:ascii="Times New Roman" w:hAnsi="Times New Roman" w:eastAsia="楷体"/>
              <w:szCs w:val="24"/>
            </w:rPr>
            <w:t>贵金属：欧元区消费者信心小幅回升，贵金属窄幅震荡</w:t>
          </w:r>
          <w:r>
            <w:rPr>
              <w:bCs/>
            </w:rPr>
            <w:fldChar w:fldCharType="end"/>
          </w:r>
        </w:p>
        <w:p>
          <w:pPr>
            <w:pStyle w:val="59"/>
            <w:tabs>
              <w:tab w:val="right" w:leader="dot" w:pos="8306"/>
            </w:tabs>
          </w:pPr>
          <w:r>
            <w:rPr>
              <w:bCs/>
            </w:rPr>
            <w:fldChar w:fldCharType="begin"/>
          </w:r>
          <w:r>
            <w:rPr>
              <w:bCs/>
            </w:rPr>
            <w:instrText xml:space="preserve"> HYPERLINK \l _Toc9352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_Toc4410 </w:instrText>
          </w:r>
          <w:r>
            <w:rPr>
              <w:bCs/>
            </w:rPr>
            <w:fldChar w:fldCharType="separate"/>
          </w:r>
          <w:r>
            <w:rPr>
              <w:rFonts w:hint="eastAsia" w:ascii="楷体" w:hAnsi="楷体" w:eastAsia="楷体"/>
              <w:szCs w:val="24"/>
            </w:rPr>
            <w:t>碳酸锂：现货价格持平，期价略微下跌</w:t>
          </w:r>
          <w:r>
            <w:rPr>
              <w:bCs/>
            </w:rPr>
            <w:fldChar w:fldCharType="end"/>
          </w:r>
        </w:p>
        <w:p>
          <w:pPr>
            <w:pStyle w:val="74"/>
            <w:tabs>
              <w:tab w:val="right" w:leader="dot" w:pos="8306"/>
            </w:tabs>
          </w:pPr>
          <w:r>
            <w:rPr>
              <w:bCs/>
            </w:rPr>
            <w:fldChar w:fldCharType="begin"/>
          </w:r>
          <w:r>
            <w:rPr>
              <w:bCs/>
            </w:rPr>
            <w:instrText xml:space="preserve"> HYPERLINK \l _Toc4581 </w:instrText>
          </w:r>
          <w:r>
            <w:rPr>
              <w:bCs/>
            </w:rPr>
            <w:fldChar w:fldCharType="separate"/>
          </w:r>
          <w:r>
            <w:rPr>
              <w:rFonts w:hint="eastAsia" w:ascii="楷体" w:hAnsi="楷体" w:eastAsia="楷体"/>
              <w:szCs w:val="24"/>
            </w:rPr>
            <w:t>铝：铝价承压偏弱运行，建议操作观望为主</w:t>
          </w:r>
          <w:r>
            <w:rPr>
              <w:bCs/>
            </w:rPr>
            <w:fldChar w:fldCharType="end"/>
          </w:r>
        </w:p>
        <w:p>
          <w:pPr>
            <w:pStyle w:val="74"/>
            <w:tabs>
              <w:tab w:val="right" w:leader="dot" w:pos="8306"/>
            </w:tabs>
          </w:pPr>
          <w:r>
            <w:rPr>
              <w:bCs/>
            </w:rPr>
            <w:fldChar w:fldCharType="begin"/>
          </w:r>
          <w:r>
            <w:rPr>
              <w:bCs/>
            </w:rPr>
            <w:instrText xml:space="preserve"> HYPERLINK \l _Toc6607 </w:instrText>
          </w:r>
          <w:r>
            <w:rPr>
              <w:bCs/>
            </w:rPr>
            <w:fldChar w:fldCharType="separate"/>
          </w:r>
          <w:r>
            <w:rPr>
              <w:rFonts w:hint="eastAsia" w:ascii="楷体" w:hAnsi="楷体" w:eastAsia="楷体"/>
              <w:szCs w:val="24"/>
            </w:rPr>
            <w:t>锌：市场情绪压制，锌价走势偏弱</w:t>
          </w:r>
          <w:r>
            <w:rPr>
              <w:bCs/>
            </w:rPr>
            <w:fldChar w:fldCharType="end"/>
          </w:r>
        </w:p>
        <w:p>
          <w:pPr>
            <w:pStyle w:val="74"/>
            <w:tabs>
              <w:tab w:val="right" w:leader="dot" w:pos="8306"/>
            </w:tabs>
          </w:pPr>
          <w:r>
            <w:rPr>
              <w:bCs/>
            </w:rPr>
            <w:fldChar w:fldCharType="begin"/>
          </w:r>
          <w:r>
            <w:rPr>
              <w:bCs/>
            </w:rPr>
            <w:instrText xml:space="preserve"> HYPERLINK \l _Toc2497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：跌势或放缓</w:t>
          </w:r>
          <w:r>
            <w:rPr>
              <w:bCs/>
            </w:rPr>
            <w:fldChar w:fldCharType="end"/>
          </w:r>
        </w:p>
        <w:p>
          <w:pPr>
            <w:pStyle w:val="74"/>
            <w:tabs>
              <w:tab w:val="right" w:leader="dot" w:pos="8306"/>
            </w:tabs>
          </w:pPr>
          <w:r>
            <w:rPr>
              <w:bCs/>
            </w:rPr>
            <w:fldChar w:fldCharType="begin"/>
          </w:r>
          <w:r>
            <w:rPr>
              <w:bCs/>
            </w:rPr>
            <w:instrText xml:space="preserve"> HYPERLINK \l _Toc29322 </w:instrText>
          </w:r>
          <w:r>
            <w:rPr>
              <w:bCs/>
            </w:rPr>
            <w:fldChar w:fldCharType="separate"/>
          </w:r>
          <w:r>
            <w:rPr>
              <w:rFonts w:hint="eastAsia" w:ascii="楷体" w:hAnsi="楷体" w:eastAsia="楷体"/>
              <w:szCs w:val="24"/>
            </w:rPr>
            <w:t>镍：预计短期镍价偏弱整理为主</w:t>
          </w:r>
          <w:r>
            <w:rPr>
              <w:bCs/>
            </w:rPr>
            <w:fldChar w:fldCharType="end"/>
          </w:r>
        </w:p>
        <w:p>
          <w:pPr>
            <w:pStyle w:val="74"/>
            <w:tabs>
              <w:tab w:val="right" w:leader="dot" w:pos="8306"/>
            </w:tabs>
          </w:pPr>
          <w:r>
            <w:rPr>
              <w:bCs/>
            </w:rPr>
            <w:fldChar w:fldCharType="begin"/>
          </w:r>
          <w:r>
            <w:rPr>
              <w:bCs/>
            </w:rPr>
            <w:instrText xml:space="preserve"> HYPERLINK \l _Toc24386 </w:instrText>
          </w:r>
          <w:r>
            <w:rPr>
              <w:bCs/>
            </w:rPr>
            <w:fldChar w:fldCharType="separate"/>
          </w:r>
          <w:r>
            <w:rPr>
              <w:rFonts w:hint="eastAsia" w:ascii="楷体" w:hAnsi="楷体" w:eastAsia="楷体"/>
              <w:szCs w:val="24"/>
            </w:rPr>
            <w:t>不锈钢：成本支撑与供需压力交织，反弹驱动有限</w:t>
          </w:r>
          <w:r>
            <w:rPr>
              <w:bCs/>
            </w:rPr>
            <w:fldChar w:fldCharType="end"/>
          </w:r>
        </w:p>
        <w:p>
          <w:pPr>
            <w:pStyle w:val="74"/>
            <w:tabs>
              <w:tab w:val="right" w:leader="dot" w:pos="8306"/>
            </w:tabs>
          </w:pPr>
          <w:r>
            <w:rPr>
              <w:bCs/>
            </w:rPr>
            <w:fldChar w:fldCharType="begin"/>
          </w:r>
          <w:r>
            <w:rPr>
              <w:bCs/>
            </w:rPr>
            <w:instrText xml:space="preserve"> HYPERLINK \l _Toc28950 </w:instrText>
          </w:r>
          <w:r>
            <w:rPr>
              <w:bCs/>
            </w:rPr>
            <w:fldChar w:fldCharType="separate"/>
          </w:r>
          <w:r>
            <w:rPr>
              <w:rFonts w:hint="eastAsia" w:ascii="楷体" w:hAnsi="楷体" w:eastAsia="楷体"/>
              <w:szCs w:val="24"/>
            </w:rPr>
            <w:t>工业硅：需求暂无明显改善，盘面反弹压力或仍存</w:t>
          </w:r>
          <w:r>
            <w:rPr>
              <w:bCs/>
            </w:rPr>
            <w:fldChar w:fldCharType="end"/>
          </w:r>
        </w:p>
        <w:p>
          <w:pPr>
            <w:pStyle w:val="59"/>
            <w:tabs>
              <w:tab w:val="right" w:leader="dot" w:pos="8306"/>
            </w:tabs>
          </w:pPr>
          <w:r>
            <w:rPr>
              <w:bCs/>
            </w:rPr>
            <w:fldChar w:fldCharType="begin"/>
          </w:r>
          <w:r>
            <w:rPr>
              <w:bCs/>
            </w:rPr>
            <w:instrText xml:space="preserve"> HYPERLINK \l _Toc3095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_Toc74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原料价格止跌企稳再度验证 橡胶下方空间有限</w:t>
          </w:r>
          <w:r>
            <w:rPr>
              <w:bCs/>
            </w:rPr>
            <w:fldChar w:fldCharType="end"/>
          </w:r>
        </w:p>
        <w:p>
          <w:pPr>
            <w:pStyle w:val="74"/>
            <w:tabs>
              <w:tab w:val="right" w:leader="dot" w:pos="8306"/>
            </w:tabs>
          </w:pPr>
          <w:r>
            <w:rPr>
              <w:bCs/>
            </w:rPr>
            <w:fldChar w:fldCharType="begin"/>
          </w:r>
          <w:r>
            <w:rPr>
              <w:bCs/>
            </w:rPr>
            <w:instrText xml:space="preserve"> HYPERLINK \l _Toc28670 </w:instrText>
          </w:r>
          <w:r>
            <w:rPr>
              <w:bCs/>
            </w:rPr>
            <w:fldChar w:fldCharType="separate"/>
          </w:r>
          <w:r>
            <w:rPr>
              <w:rFonts w:hint="eastAsia" w:ascii="Times New Roman" w:hAnsi="Times New Roman" w:eastAsia="楷体"/>
              <w:szCs w:val="24"/>
            </w:rPr>
            <w:t>聚烯烃：需求进入淡季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_Toc10283 </w:instrText>
          </w:r>
          <w:r>
            <w:rPr>
              <w:bCs/>
            </w:rPr>
            <w:fldChar w:fldCharType="separate"/>
          </w:r>
          <w:r>
            <w:rPr>
              <w:rFonts w:hint="eastAsia" w:ascii="Times New Roman" w:hAnsi="Times New Roman" w:eastAsia="楷体"/>
              <w:szCs w:val="24"/>
            </w:rPr>
            <w:t>玻璃:</w:t>
          </w:r>
          <w:r>
            <w:rPr>
              <w:rFonts w:hint="eastAsia" w:ascii="Times New Roman" w:hAnsi="Times New Roman" w:eastAsia="楷体"/>
              <w:szCs w:val="24"/>
              <w:lang w:val="en-US" w:eastAsia="zh-CN"/>
            </w:rPr>
            <w:t xml:space="preserve"> </w:t>
          </w:r>
          <w:r>
            <w:rPr>
              <w:rFonts w:hint="eastAsia" w:ascii="Times New Roman" w:hAnsi="Times New Roman" w:eastAsia="楷体"/>
              <w:szCs w:val="24"/>
            </w:rPr>
            <w:t>厂家压缩利润低价出货，期货市场或保持弱震荡</w:t>
          </w:r>
          <w:r>
            <w:rPr>
              <w:bCs/>
            </w:rPr>
            <w:fldChar w:fldCharType="end"/>
          </w:r>
        </w:p>
        <w:p>
          <w:pPr>
            <w:pStyle w:val="74"/>
            <w:tabs>
              <w:tab w:val="right" w:leader="dot" w:pos="8306"/>
            </w:tabs>
          </w:pPr>
          <w:r>
            <w:rPr>
              <w:bCs/>
            </w:rPr>
            <w:fldChar w:fldCharType="begin"/>
          </w:r>
          <w:r>
            <w:rPr>
              <w:bCs/>
            </w:rPr>
            <w:instrText xml:space="preserve"> HYPERLINK \l _Toc25915 </w:instrText>
          </w:r>
          <w:r>
            <w:rPr>
              <w:bCs/>
            </w:rPr>
            <w:fldChar w:fldCharType="separate"/>
          </w:r>
          <w:r>
            <w:rPr>
              <w:rFonts w:hint="eastAsia" w:ascii="Times New Roman" w:hAnsi="Times New Roman" w:eastAsia="楷体"/>
              <w:szCs w:val="24"/>
            </w:rPr>
            <w:t>纯碱：需求不足现价疲弱，短期或仍存下探空间</w:t>
          </w:r>
          <w:r>
            <w:rPr>
              <w:bCs/>
            </w:rPr>
            <w:fldChar w:fldCharType="end"/>
          </w:r>
        </w:p>
        <w:p>
          <w:pPr>
            <w:pStyle w:val="74"/>
            <w:tabs>
              <w:tab w:val="right" w:leader="dot" w:pos="8306"/>
            </w:tabs>
          </w:pPr>
          <w:r>
            <w:rPr>
              <w:bCs/>
            </w:rPr>
            <w:fldChar w:fldCharType="begin"/>
          </w:r>
          <w:r>
            <w:rPr>
              <w:bCs/>
            </w:rPr>
            <w:instrText xml:space="preserve"> HYPERLINK \l _Toc19188 </w:instrText>
          </w:r>
          <w:r>
            <w:rPr>
              <w:bCs/>
            </w:rPr>
            <w:fldChar w:fldCharType="separate"/>
          </w:r>
          <w:r>
            <w:rPr>
              <w:rFonts w:hint="eastAsia" w:ascii="Times New Roman" w:hAnsi="Times New Roman" w:eastAsia="楷体"/>
              <w:szCs w:val="24"/>
            </w:rPr>
            <w:t>PTA：多空交织 上下空间有限</w:t>
          </w:r>
          <w:r>
            <w:rPr>
              <w:bCs/>
            </w:rPr>
            <w:fldChar w:fldCharType="end"/>
          </w:r>
        </w:p>
        <w:p>
          <w:pPr>
            <w:pStyle w:val="74"/>
            <w:tabs>
              <w:tab w:val="right" w:leader="dot" w:pos="8306"/>
            </w:tabs>
          </w:pPr>
          <w:r>
            <w:rPr>
              <w:bCs/>
            </w:rPr>
            <w:fldChar w:fldCharType="begin"/>
          </w:r>
          <w:r>
            <w:rPr>
              <w:bCs/>
            </w:rPr>
            <w:instrText xml:space="preserve"> HYPERLINK \l _Toc6653 </w:instrText>
          </w:r>
          <w:r>
            <w:rPr>
              <w:bCs/>
            </w:rPr>
            <w:fldChar w:fldCharType="separate"/>
          </w:r>
          <w:r>
            <w:rPr>
              <w:rFonts w:hint="eastAsia" w:ascii="Times New Roman" w:hAnsi="Times New Roman" w:eastAsia="楷体"/>
              <w:szCs w:val="24"/>
            </w:rPr>
            <w:t>乙二醇：大宗商品氛围偏弱</w:t>
          </w:r>
          <w:r>
            <w:rPr>
              <w:bCs/>
            </w:rPr>
            <w:fldChar w:fldCharType="end"/>
          </w:r>
        </w:p>
        <w:p>
          <w:pPr>
            <w:pStyle w:val="59"/>
            <w:tabs>
              <w:tab w:val="right" w:leader="dot" w:pos="8306"/>
            </w:tabs>
          </w:pPr>
          <w:r>
            <w:rPr>
              <w:bCs/>
            </w:rPr>
            <w:fldChar w:fldCharType="begin"/>
          </w:r>
          <w:r>
            <w:rPr>
              <w:bCs/>
            </w:rPr>
            <w:instrText xml:space="preserve"> HYPERLINK \l _Toc26485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_Toc24010 </w:instrText>
          </w:r>
          <w:r>
            <w:rPr>
              <w:bCs/>
            </w:rPr>
            <w:fldChar w:fldCharType="separate"/>
          </w:r>
          <w:r>
            <w:rPr>
              <w:rFonts w:hint="eastAsia" w:ascii="楷体" w:hAnsi="楷体" w:eastAsia="楷体"/>
              <w:bCs/>
            </w:rPr>
            <w:t>玉米与淀粉：</w:t>
          </w:r>
          <w:r>
            <w:rPr>
              <w:rFonts w:hint="eastAsia" w:ascii="楷体" w:hAnsi="楷体" w:eastAsia="楷体"/>
            </w:rPr>
            <w:t>期价冲高回落</w:t>
          </w:r>
          <w:r>
            <w:rPr>
              <w:bCs/>
            </w:rPr>
            <w:fldChar w:fldCharType="end"/>
          </w:r>
        </w:p>
        <w:p>
          <w:pPr>
            <w:pStyle w:val="74"/>
            <w:tabs>
              <w:tab w:val="right" w:leader="dot" w:pos="8306"/>
            </w:tabs>
          </w:pPr>
          <w:r>
            <w:rPr>
              <w:bCs/>
            </w:rPr>
            <w:fldChar w:fldCharType="begin"/>
          </w:r>
          <w:r>
            <w:rPr>
              <w:bCs/>
            </w:rPr>
            <w:instrText xml:space="preserve"> HYPERLINK \l _Toc29504 </w:instrText>
          </w:r>
          <w:r>
            <w:rPr>
              <w:bCs/>
            </w:rPr>
            <w:fldChar w:fldCharType="separate"/>
          </w:r>
          <w:r>
            <w:rPr>
              <w:rFonts w:hint="eastAsia" w:ascii="楷体" w:hAnsi="楷体" w:eastAsia="楷体"/>
              <w:bCs/>
            </w:rPr>
            <w:t>畜禽养殖：鸡蛋近月相对弱势</w:t>
          </w:r>
          <w:r>
            <w:rPr>
              <w:bCs/>
            </w:rPr>
            <w:fldChar w:fldCharType="end"/>
          </w:r>
        </w:p>
        <w:p>
          <w:pPr>
            <w:pStyle w:val="74"/>
            <w:tabs>
              <w:tab w:val="right" w:leader="dot" w:pos="8306"/>
            </w:tabs>
          </w:pPr>
          <w:r>
            <w:rPr>
              <w:bCs/>
            </w:rPr>
            <w:fldChar w:fldCharType="begin"/>
          </w:r>
          <w:r>
            <w:rPr>
              <w:bCs/>
            </w:rPr>
            <w:instrText xml:space="preserve"> HYPERLINK \l _Toc19303 </w:instrText>
          </w:r>
          <w:r>
            <w:rPr>
              <w:bCs/>
            </w:rPr>
            <w:fldChar w:fldCharType="separate"/>
          </w:r>
          <w:r>
            <w:rPr>
              <w:rFonts w:hint="eastAsia" w:ascii="楷体" w:hAnsi="楷体" w:eastAsia="楷体"/>
              <w:bCs/>
            </w:rPr>
            <w:t>白糖：区间波段式震荡整理</w:t>
          </w:r>
          <w:r>
            <w:rPr>
              <w:bCs/>
            </w:rPr>
            <w:fldChar w:fldCharType="end"/>
          </w:r>
        </w:p>
        <w:p>
          <w:pPr>
            <w:pStyle w:val="74"/>
            <w:tabs>
              <w:tab w:val="right" w:leader="dot" w:pos="8306"/>
            </w:tabs>
          </w:pPr>
          <w:r>
            <w:rPr>
              <w:bCs/>
            </w:rPr>
            <w:fldChar w:fldCharType="begin"/>
          </w:r>
          <w:r>
            <w:rPr>
              <w:bCs/>
            </w:rPr>
            <w:instrText xml:space="preserve"> HYPERLINK \l _Toc13193 </w:instrText>
          </w:r>
          <w:r>
            <w:rPr>
              <w:bCs/>
            </w:rPr>
            <w:fldChar w:fldCharType="separate"/>
          </w:r>
          <w:r>
            <w:rPr>
              <w:rFonts w:hint="eastAsia" w:ascii="楷体" w:hAnsi="楷体" w:eastAsia="楷体"/>
              <w:bCs/>
            </w:rPr>
            <w:t>棉花：预计郑棉偏弱震荡，逢低买入</w:t>
          </w:r>
          <w:r>
            <w:rPr>
              <w:bCs/>
            </w:rPr>
            <w:fldChar w:fldCharType="end"/>
          </w:r>
        </w:p>
        <w:p>
          <w:pPr>
            <w:pStyle w:val="74"/>
            <w:tabs>
              <w:tab w:val="right" w:leader="dot" w:pos="8306"/>
            </w:tabs>
          </w:pPr>
          <w:r>
            <w:rPr>
              <w:bCs/>
            </w:rPr>
            <w:fldChar w:fldCharType="begin"/>
          </w:r>
          <w:r>
            <w:rPr>
              <w:bCs/>
            </w:rPr>
            <w:instrText xml:space="preserve"> HYPERLINK \l _Toc15058 </w:instrText>
          </w:r>
          <w:r>
            <w:rPr>
              <w:bCs/>
            </w:rPr>
            <w:fldChar w:fldCharType="separate"/>
          </w:r>
          <w:r>
            <w:rPr>
              <w:rFonts w:hint="eastAsia" w:ascii="楷体" w:hAnsi="楷体" w:eastAsia="楷体"/>
              <w:bCs/>
            </w:rPr>
            <w:t>蛋白粕：豆系持续反弹，菜系再度转跌</w:t>
          </w:r>
          <w:r>
            <w:rPr>
              <w:bCs/>
            </w:rPr>
            <w:fldChar w:fldCharType="end"/>
          </w:r>
        </w:p>
        <w:p>
          <w:pPr>
            <w:pStyle w:val="74"/>
            <w:tabs>
              <w:tab w:val="right" w:leader="dot" w:pos="8306"/>
            </w:tabs>
          </w:pPr>
          <w:r>
            <w:rPr>
              <w:bCs/>
            </w:rPr>
            <w:fldChar w:fldCharType="begin"/>
          </w:r>
          <w:r>
            <w:rPr>
              <w:bCs/>
            </w:rPr>
            <w:instrText xml:space="preserve"> HYPERLINK \l _Toc29081 </w:instrText>
          </w:r>
          <w:r>
            <w:rPr>
              <w:bCs/>
            </w:rPr>
            <w:fldChar w:fldCharType="separate"/>
          </w:r>
          <w:r>
            <w:rPr>
              <w:rFonts w:hint="eastAsia" w:ascii="楷体" w:hAnsi="楷体" w:eastAsia="楷体"/>
              <w:bCs/>
            </w:rPr>
            <w:t>油脂类：棕油微跌，但跌幅有限</w:t>
          </w:r>
          <w:r>
            <w:rPr>
              <w:bCs/>
            </w:rPr>
            <w:fldChar w:fldCharType="end"/>
          </w:r>
        </w:p>
        <w:p>
          <w:pPr>
            <w:pStyle w:val="59"/>
            <w:tabs>
              <w:tab w:val="right" w:leader="dot" w:pos="8306"/>
            </w:tabs>
          </w:pPr>
          <w:r>
            <w:rPr>
              <w:bCs/>
            </w:rPr>
            <w:fldChar w:fldCharType="begin"/>
          </w:r>
          <w:r>
            <w:rPr>
              <w:bCs/>
            </w:rPr>
            <w:instrText xml:space="preserve"> HYPERLINK \l _Toc1103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_Toc4163 </w:instrText>
          </w:r>
          <w:r>
            <w:rPr>
              <w:bCs/>
            </w:rPr>
            <w:fldChar w:fldCharType="separate"/>
          </w:r>
          <w:r>
            <w:rPr>
              <w:rFonts w:hint="eastAsia" w:ascii="Times New Roman" w:hAnsi="Times New Roman" w:eastAsia="楷体"/>
              <w:szCs w:val="24"/>
            </w:rPr>
            <w:t>集运指数（欧线）：现货回落多头情绪暂时停息，EC偏弱运行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649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535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弱势震荡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昨日，大盘全天无抵抗式下跌，下午2点后没有大资金入场背景下开始加速下跌，市场情绪较弱。三中全会整体定调着眼于中长期，对中国经济改革和未来发展具有重要意义，往往有助于推动市场风险偏好提升。市场短期交易或更需要着眼于当下的政策，需看到国内中期基本面改善清晰度，加之海外大选要在Q4才会尘埃落定，故对Q3仍维持弱势震荡，存在结构性机会的观点。</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0454"/>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3644"/>
      <w:r>
        <w:rPr>
          <w:rFonts w:hint="eastAsia" w:ascii="Times New Roman" w:hAnsi="Times New Roman" w:eastAsia="楷体"/>
          <w:b/>
          <w:color w:val="000000" w:themeColor="text1"/>
          <w:sz w:val="24"/>
          <w:szCs w:val="24"/>
          <w14:textFill>
            <w14:solidFill>
              <w14:schemeClr w14:val="tx1"/>
            </w14:solidFill>
          </w14:textFill>
        </w:rPr>
        <w:t>贵金属：欧元区消费者信心小幅回升，贵金属窄幅震荡</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0.29%至565.38元/克，沪银涨0.33%至7629元/千克。欧元区7月消费者信心指数初值为-13.0，预期-13.4，6月终值-14.0。美国7月里奇蒙德联储制造业指数回落至-17，低于预期及前值。本周关注美国二季度实际GDP、个人消费支出、核心PCE等季度数据，以及美国7月标普PMI初值、6月PCE通胀等公布情况。数据将为市场评估美国经济基本面表现提供参考，在美国经济面临下行压力的背景下，贵金属的避险功能凸显，中长线维持偏多思路。</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9352"/>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4410"/>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碳酸锂：现货价格持平，期价略微下跌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昨日盘初小幅上涨，午后转跌，11合约收跌0.96%至87900元/吨。下游需求增量暂时有限，三元材料头部企业排产上行，周度开工率回升至约4成，企业多数按订单安排生产，原料及成品库存较低。磷酸铁锂方面，近期海外储能项目签约、国内储能集采招标等或提升排产预期，磷酸铁锂周度产量略微上行，头部企业开工率维持于4-8成，中部企业开工率维持约3-4成。现货成交有所好转，碳酸锂供应维持充足。基本面维持供强需弱，上方面临9万元/吨整数关口附近压力，期价或仍维持偏弱震荡。</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4581"/>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铝价承压偏弱运行，建议操作观望为主</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在交易全球经济衰退，外盘有色价格领跌，基本面上看国内矿端现状依旧吃紧，电解铝供应高位，内需临近金九银十有边际修复预期，外需表现相对旺盛。目前铝价受大宏观逻辑驱动走弱，沪铝价格跌破19500支撑，技术图形上看暂未见到明显止跌信号，短期铝价承压运行，实际基本面表现仍有支撑，建议观望下跌底部形成。</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6607"/>
      <w:r>
        <w:rPr>
          <w:rFonts w:hint="eastAsia" w:ascii="楷体" w:hAnsi="楷体" w:eastAsia="楷体"/>
          <w:b/>
          <w:color w:val="000000" w:themeColor="text1"/>
          <w:sz w:val="24"/>
          <w:szCs w:val="24"/>
          <w14:textFill>
            <w14:solidFill>
              <w14:schemeClr w14:val="tx1"/>
            </w14:solidFill>
          </w14:textFill>
        </w:rPr>
        <w:t>锌：市场情绪压制，锌价走势偏弱</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外交易经济衰退和降息预期，国内政策面偏好，但现实政策刺激效果表现不及预想。锌矿TC加工费屡破新低，原料紧缺格局无明显改善，国内矿产增量较少，海外矿进口量受海外部分冶炼厂复产影响可能进一步收缩，部分冶炼厂因生产利润不足主动减停，1-6月精炼锌产量同比下降1.39%，厂内原料库存低位，需求上看，淡季表现平平但无超预期下行，金三银四即将到来消费有提振预期，锌价快速下行破价格前低支撑后夜盘走势又有修复，价格波动剧烈，建议先观望价格走势。</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497"/>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：跌势或放缓</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(1)产业：国际铜研究小组（ICSG）周一称，今年前五个月市场供应过剩41.6万吨，去年同期为过剩15.4万吨。5月份全球精炼铜产量为237万吨，消费量为231万吨。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(2)库存：7月23日，SHFE仓单库存224052吨，减6035吨；LME仓单库存236700吨，增2300吨。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(3)精废价差：7月23日，Mysteel精废价差1489，扩张366。目前价差在合理价差1455之上。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综述：宏观层面，美大选摇摆不定，全球经济走弱，有色板块及国内股市均持续下跌，整体市场情绪仍偏空。基本面，今年持续交易矿紧但精炼铜一直处于偏过剩状态，</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LME库存近期延续回升态势给价格带来一定压力，但价格下跌后国内库存去化节奏加快，关注持续性，短期价格延续弱势，但跌势或放缓。</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9322"/>
      <w:r>
        <w:rPr>
          <w:rFonts w:hint="eastAsia" w:ascii="楷体" w:hAnsi="楷体" w:eastAsia="楷体"/>
          <w:b/>
          <w:color w:val="000000" w:themeColor="text1"/>
          <w:sz w:val="24"/>
          <w:szCs w:val="24"/>
          <w14:textFill>
            <w14:solidFill>
              <w14:schemeClr w14:val="tx1"/>
            </w14:solidFill>
          </w14:textFill>
        </w:rPr>
        <w:t>镍：预计短期镍价偏弱整理为主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交易经济走弱逻辑，施压有色板块。镍矿方面，目前印尼镍矿流通资源仍偏紧，印尼镍矿内贸升水居高不下。原料方面，镍铁价格坚挺，硫酸镍厂家在亏损状态下挺价情绪较强，预计硫酸镍价格弱稳为主。供应方面，由于精炼镍出口利润收窄，国产电积镍品牌出口势头放缓，国内精炼镍现货资源偏紧问题缓解。需求方面，近日下游成交氛围边际好转，但终端需求疲软。库存方面，上周社库降幅3.18%，LME镍库存维持趋势性累库。综合而言，镍过剩格局持续，镍价中长期下行周期并未结束，但从短期来看，印尼镍矿现货偏紧带来底部支撑，原料端负反馈程度有限，当前镍价已临近高冰镍一体化生产成本，镍价或偏弱整理为主，短期建议暂观望。</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4386"/>
      <w:r>
        <w:rPr>
          <w:rFonts w:hint="eastAsia" w:ascii="楷体" w:hAnsi="楷体" w:eastAsia="楷体"/>
          <w:b/>
          <w:color w:val="000000" w:themeColor="text1"/>
          <w:sz w:val="24"/>
          <w:szCs w:val="24"/>
          <w14:textFill>
            <w14:solidFill>
              <w14:schemeClr w14:val="tx1"/>
            </w14:solidFill>
          </w14:textFill>
        </w:rPr>
        <w:t>不锈钢：成本支撑与供需压力交织，反弹驱动有限</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近日不锈钢价格反弹主要源于仓单库存明显下降及前期空头止盈离场。镍矿方面，由于RKAB审批额度的兑现需要一定时间，加上雨季干扰，目前印尼镍矿流通资源仍偏紧，印尼镍矿内贸升水居高不下。镍铁方面，不锈钢需求疲软对镍铁价格有一定压制，但矿价坚挺带来底部支撑，镍铁价格有所上调。供应方面，不锈钢厂减产力度有限，目前排产仍处于较高水平。需求方面，虽商家低价出货，但成交氛围仍不见起色。库存方面，上周社库继续增加，仓单库存仍处于历史高位。综合而言，印尼镍矿供应偏紧及镍铁价格坚挺带来底部支撑，但供需压力下反弹驱动较弱，操作上建议低多思路为主。</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895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需求暂无明显改善，盘面反弹压力或仍存</w:t>
      </w:r>
      <w:bookmarkEnd w:id="25"/>
    </w:p>
    <w:p>
      <w:pPr>
        <w:ind w:left="630" w:leftChars="300"/>
        <w:rPr>
          <w:rFonts w:ascii="楷体" w:hAnsi="楷体" w:eastAsia="楷体"/>
          <w:sz w:val="24"/>
          <w:szCs w:val="24"/>
        </w:rPr>
      </w:pPr>
      <w:r>
        <w:rPr>
          <w:rFonts w:hint="eastAsia" w:ascii="楷体" w:hAnsi="楷体" w:eastAsia="楷体"/>
          <w:sz w:val="24"/>
          <w:szCs w:val="24"/>
        </w:rPr>
        <w:t>7月23日，Si2409主力合约呈有所反弹，收盘价10320元/吨，较上一收盘价涨跌幅+0.44%。从基本面来看，主产区整体处于开工高位，部分高成本地区小幅减产，但影响相对有限，而下游核心需求多晶硅此前减产产能恢复不及预期，后续对工业硅需求或仍有进一步下降预期。目前，盘面价格屡破新低，期现商低价出货，但需求并未出现明显方向，工厂库存压力下也存在降价出货，上周大厂大幅下调现货报价，对盘面构成较大压力。若主产区持续处于高开工，在需求疲软情况下，或进一步加剧宽松格局，后续仍有下跌的风险。策略上，谨慎资金暂时观望，激进资金维持逢高做空思路。</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6" w:name="化工"/>
      <w:r>
        <w:rPr>
          <w:rFonts w:hint="eastAsia" w:ascii="Times New Roman" w:hAnsi="Times New Roman" w:eastAsia="楷体"/>
          <w:b/>
          <w:color w:val="823C0B"/>
          <w:sz w:val="30"/>
          <w:szCs w:val="30"/>
        </w:rPr>
        <w:t xml:space="preserve"> </w:t>
      </w:r>
      <w:bookmarkStart w:id="27" w:name="_Toc3095"/>
      <w:r>
        <w:rPr>
          <w:rFonts w:hint="eastAsia" w:ascii="Times New Roman" w:hAnsi="Times New Roman" w:eastAsia="楷体"/>
          <w:b/>
          <w:color w:val="823C0B"/>
          <w:sz w:val="30"/>
          <w:szCs w:val="30"/>
        </w:rPr>
        <w:t>[化工]</w:t>
      </w:r>
      <w:bookmarkEnd w:id="26"/>
      <w:bookmarkEnd w:id="27"/>
    </w:p>
    <w:p>
      <w:pPr>
        <w:ind w:firstLine="482" w:firstLineChars="200"/>
        <w:outlineLvl w:val="1"/>
        <w:rPr>
          <w:rFonts w:ascii="楷体" w:hAnsi="楷体" w:eastAsia="楷体"/>
          <w:b/>
          <w:sz w:val="24"/>
          <w:szCs w:val="24"/>
        </w:rPr>
      </w:pPr>
      <w:bookmarkStart w:id="28" w:name="_Toc7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原料价格止跌企稳再度验证 橡胶下方空间有限</w:t>
      </w:r>
      <w:bookmarkEnd w:id="28"/>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昨日天然橡胶主力合约震荡表现为主。目前看，产区季节性上量预期明显，但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则令人堪忧，因整体需求偏弱，各企业成品库存表现不一，后期不排除个别企业会出现生产降速的可能性。终端汽车方面，6月车企优惠政策延续。根据工信部最新公布的新车上市名录里面可以看到，多家车企的新车型与换代车型将于近期发售，亦将刺激未来汽车销售增长预期。整体看，近期海外原料价格止跌企稳，对胶价底部支撑未出现进一步恶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29" w:name="_Toc28670"/>
      <w:r>
        <w:rPr>
          <w:rFonts w:hint="eastAsia" w:ascii="Times New Roman" w:hAnsi="Times New Roman" w:eastAsia="楷体"/>
          <w:b/>
          <w:color w:val="000000" w:themeColor="text1"/>
          <w:sz w:val="24"/>
          <w:szCs w:val="24"/>
          <w14:textFill>
            <w14:solidFill>
              <w14:schemeClr w14:val="tx1"/>
            </w14:solidFill>
          </w14:textFill>
        </w:rPr>
        <w:t>聚烯烃：需求进入淡季 聚烯烃跟随原油价格走势为主</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目前聚烯烃仍处于石化厂检修季节，供应端减量，石化库存中性偏高，开工负荷均处于低位，装置检修损失量较高。但聚烯烃整体下游市场需求并不是很好，订单持平偏弱，利润同比更弱，成品库存较高的情况下难以看到大规模的补库，整体处于下游旺季结束阶段，PE下游农膜开工率季节性回落，其余下游需求尚可。PP进口窗口关闭，LL进口利润与PP出口利润盈亏平衡附近。6月份聚烯烃供需格局有继续走弱的预期，主要是供应端后期检修装置减少，供应环比增加，下半年还有新装置投产的预期，其中PP表现的更加明显。在基本面表现平平无奇下，聚烯烃价格走势整体跟随成本端原油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0" w:name="_Toc10283"/>
      <w:r>
        <w:rPr>
          <w:rFonts w:hint="eastAsia" w:ascii="Times New Roman" w:hAnsi="Times New Roman" w:eastAsia="楷体"/>
          <w:b/>
          <w:color w:val="000000" w:themeColor="text1"/>
          <w:sz w:val="24"/>
          <w:szCs w:val="24"/>
          <w14:textFill>
            <w14:solidFill>
              <w14:schemeClr w14:val="tx1"/>
            </w14:solidFill>
          </w14:textFill>
        </w:rPr>
        <w:t>玻璃:</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Times New Roman" w:hAnsi="Times New Roman" w:eastAsia="楷体"/>
          <w:b/>
          <w:color w:val="000000" w:themeColor="text1"/>
          <w:sz w:val="24"/>
          <w:szCs w:val="24"/>
          <w14:textFill>
            <w14:solidFill>
              <w14:schemeClr w14:val="tx1"/>
            </w14:solidFill>
          </w14:textFill>
        </w:rPr>
        <w:t>厂家压缩利润低价出货，期货市场或保持弱震荡</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昨夜盘主力合约2409窄幅震荡，收于1422元/吨。</w:t>
      </w:r>
    </w:p>
    <w:p>
      <w:pPr>
        <w:ind w:left="630" w:leftChars="300"/>
        <w:rPr>
          <w:rFonts w:hint="eastAsia" w:ascii="楷体" w:hAnsi="楷体" w:eastAsia="楷体"/>
          <w:sz w:val="24"/>
          <w:szCs w:val="24"/>
        </w:rPr>
      </w:pPr>
      <w:r>
        <w:rPr>
          <w:rFonts w:hint="eastAsia" w:ascii="楷体" w:hAnsi="楷体" w:eastAsia="楷体"/>
          <w:sz w:val="24"/>
          <w:szCs w:val="24"/>
        </w:rPr>
        <w:t>现货方面，浮法玻璃华北玻璃大板跌低位至1430元/吨、河北沙河大板现货降至1340元/吨，稳步下行。库存方面，玻璃在产企业总库存为6513.56万重量箱，环比上周上升155.26万重量箱。</w:t>
      </w:r>
    </w:p>
    <w:p>
      <w:pPr>
        <w:ind w:left="630" w:leftChars="300"/>
        <w:rPr>
          <w:rFonts w:hint="eastAsia" w:ascii="楷体" w:hAnsi="楷体" w:eastAsia="楷体"/>
          <w:sz w:val="24"/>
          <w:szCs w:val="24"/>
        </w:rPr>
      </w:pPr>
      <w:r>
        <w:rPr>
          <w:rFonts w:hint="eastAsia" w:ascii="楷体" w:hAnsi="楷体" w:eastAsia="楷体"/>
          <w:sz w:val="24"/>
          <w:szCs w:val="24"/>
        </w:rPr>
        <w:t>大多数企业库存增加，原因包括沙河部分企业价格下调、梅雨季和雨季影响、出货欠佳及外围价格下滑。华南市场除个别企业月底冲刺导致库存下降外，多数企业库存增加。</w:t>
      </w:r>
    </w:p>
    <w:p>
      <w:pPr>
        <w:ind w:left="630" w:leftChars="300"/>
        <w:rPr>
          <w:rFonts w:hint="eastAsia" w:ascii="楷体" w:hAnsi="楷体" w:eastAsia="楷体"/>
          <w:sz w:val="24"/>
          <w:szCs w:val="24"/>
        </w:rPr>
      </w:pPr>
      <w:r>
        <w:rPr>
          <w:rFonts w:hint="eastAsia" w:ascii="楷体" w:hAnsi="楷体" w:eastAsia="楷体"/>
          <w:sz w:val="24"/>
          <w:szCs w:val="24"/>
        </w:rPr>
        <w:t>总体来看，目前市场情绪较弱，许多厂家以低于成本的价格出货。下游需求不足且处于累库阶段，预计短期玻璃将于1350上方弱势震荡，建议观望。</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1" w:name="_Toc25915"/>
      <w:r>
        <w:rPr>
          <w:rFonts w:hint="eastAsia" w:ascii="Times New Roman" w:hAnsi="Times New Roman" w:eastAsia="楷体"/>
          <w:b/>
          <w:color w:val="000000" w:themeColor="text1"/>
          <w:sz w:val="24"/>
          <w:szCs w:val="24"/>
          <w14:textFill>
            <w14:solidFill>
              <w14:schemeClr w14:val="tx1"/>
            </w14:solidFill>
          </w14:textFill>
        </w:rPr>
        <w:t>纯碱：需求不足现价疲弱，短期或仍存下探空间</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昨夜盘主力合约下跌0.91%至1861元/吨。</w:t>
      </w:r>
    </w:p>
    <w:p>
      <w:pPr>
        <w:ind w:left="630" w:leftChars="300"/>
        <w:rPr>
          <w:rFonts w:hint="eastAsia" w:ascii="楷体" w:hAnsi="楷体" w:eastAsia="楷体"/>
          <w:sz w:val="24"/>
          <w:szCs w:val="24"/>
        </w:rPr>
      </w:pPr>
      <w:r>
        <w:rPr>
          <w:rFonts w:hint="eastAsia" w:ascii="楷体" w:hAnsi="楷体" w:eastAsia="楷体"/>
          <w:sz w:val="24"/>
          <w:szCs w:val="24"/>
        </w:rPr>
        <w:t>本周纯碱行业开工约84.9%，环比下跌1.36%。在需求端，玻璃行业等主要下游市场的需求呈现疲软态势。特别是轻碱市场需求明显下滑，出货难度增加。另外楼市尚未出现明显回暖，各线城市房价仍处于环比下降。</w:t>
      </w:r>
    </w:p>
    <w:p>
      <w:pPr>
        <w:ind w:left="630" w:leftChars="300"/>
        <w:rPr>
          <w:rFonts w:hint="eastAsia" w:ascii="楷体" w:hAnsi="楷体" w:eastAsia="楷体"/>
          <w:sz w:val="24"/>
          <w:szCs w:val="24"/>
        </w:rPr>
      </w:pPr>
      <w:r>
        <w:rPr>
          <w:rFonts w:hint="eastAsia" w:ascii="楷体" w:hAnsi="楷体" w:eastAsia="楷体"/>
          <w:sz w:val="24"/>
          <w:szCs w:val="24"/>
        </w:rPr>
        <w:t>目前，供应恢复导致短期预计纯碱现货价格偏弱，纯碱生产成本较低因此盘面上或仍有下探空间。</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9188"/>
      <w:r>
        <w:rPr>
          <w:rFonts w:hint="eastAsia" w:ascii="Times New Roman" w:hAnsi="Times New Roman" w:eastAsia="楷体"/>
          <w:b/>
          <w:color w:val="000000" w:themeColor="text1"/>
          <w:sz w:val="24"/>
          <w:szCs w:val="24"/>
          <w14:textFill>
            <w14:solidFill>
              <w14:schemeClr w14:val="tx1"/>
            </w14:solidFill>
          </w14:textFill>
        </w:rPr>
        <w:t>PTA：多空交织 上下空间有限</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近期部分聚酯工厂逢低补货，主港提货速度较快，加之部分货源集港出口，码头可以流通的现货较为有限，本周主港现货基差较为坚挺，区域价差仍在；近期供应逐步回归，三季度PTA检修计划偏少，随着聚酯负荷下降，7~8月PTA有累库压力, 但短期现货流通性仍受影响，码头库存积累仍需时间，短期内主港现货基差表现抗跌，宁波方向基差相对弱势，PTA价格则跟随成本端震荡为主，关注后期的计划外装置波动。需求方面，下游聚酯瓶片减产，关注聚酯新投产进度。聚酯端瓶片工厂减产较为集中，长丝和短纤负荷持稳但库存压力进一步回升，当下长丝、短纤板块负反馈陆续形成中，中小单位和部分贸易商陆续开始优惠或跌价出货，挺价联盟略松动，但是矛盾突出仍需时间累积，关注几家头部工厂减产动作；另外后续瓶片还有进一步减产可能，但同时三季度瓶片新投产计划集中，关注新装置落地情况和存量检修情况,预计整体聚酯产量下降有限。</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6653"/>
      <w:r>
        <w:rPr>
          <w:rFonts w:hint="eastAsia" w:ascii="Times New Roman" w:hAnsi="Times New Roman" w:eastAsia="楷体"/>
          <w:b/>
          <w:color w:val="000000" w:themeColor="text1"/>
          <w:sz w:val="24"/>
          <w:szCs w:val="24"/>
          <w14:textFill>
            <w14:solidFill>
              <w14:schemeClr w14:val="tx1"/>
            </w14:solidFill>
          </w14:textFill>
        </w:rPr>
        <w:t>乙二醇：大宗商品氛围偏弱</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且大型装置重启预期、需求走弱以及到港增加预期下，乙二醇上方压力凸显，多头止盈离场，回调压力加剧。</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4" w:name="_Toc26485"/>
      <w:r>
        <w:rPr>
          <w:rFonts w:hint="eastAsia" w:ascii="Times New Roman" w:hAnsi="Times New Roman" w:eastAsia="楷体"/>
          <w:b/>
          <w:color w:val="823C0B"/>
          <w:sz w:val="30"/>
          <w:szCs w:val="30"/>
        </w:rPr>
        <w:t>[农产品]</w:t>
      </w:r>
      <w:bookmarkEnd w:id="14"/>
      <w:bookmarkEnd w:id="34"/>
    </w:p>
    <w:p>
      <w:pPr>
        <w:pStyle w:val="93"/>
        <w:spacing w:before="60" w:beforeAutospacing="0" w:after="60" w:afterAutospacing="0"/>
        <w:ind w:left="420" w:leftChars="200"/>
        <w:outlineLvl w:val="1"/>
        <w:rPr>
          <w:rFonts w:hint="eastAsia" w:ascii="楷体" w:hAnsi="楷体" w:eastAsia="楷体"/>
          <w:b/>
        </w:rPr>
      </w:pPr>
      <w:bookmarkStart w:id="35" w:name="_Toc24010"/>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期价冲高回落</w:t>
      </w:r>
      <w:bookmarkEnd w:id="35"/>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国内玉米现货表现继续分化，华北产区涨跌互现，东北产区稳中有跌，南北方港口大致稳定，玉米期价早盘冲高，随后持续回落，各合约小幅收跌。对于玉米而言，期价虽有止跌迹象，现货延续弱势，考虑到期价低于北方港口平仓价，更贴近南方销区现货价，这需要市场对此做出判断，究竟是期价大幅下跌带来的提前风控行为，还是只是现货市场崩盘的开始，这背后逻辑重点在于当前年度即旧作是否仍存在产需缺口，我们继续倾向于国家不太可能降价抛储陈化水稻，而在国家增储之后小麦饲用替代量有望大幅下降，随着生猪和蛋禽养殖利润带动畜禽存栏对应饲料需求环比改善，国内旧作玉米产需缺口仍有望逐步显现，继而可能改变新作供需格局，据此我们维持谨慎看多观点，但建议投资者暂以观望为宜，待现货止跌后可考虑入场做多。</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大多稳定，局部地区下跌10-20元不等，期价跟随玉米冲高回落，淀粉-玉米价差变动不大。对于淀粉而言，影响淀粉-玉米价差的三方面因素中，行业供需近期趋于偏空，因行业库存已出现累积迹象；原料成本存在变数，至少近期产区玉米收购价多有下跌；而副产品端有望带来支撑，因美豆带动蛋白粕继续弱势，淀粉副产品缺乏上涨动力，这有望抑制淀粉-玉米价差继续回落空间。综上所述，我们维持谨慎看多观点，但建议暂以观望为宜。</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6" w:name="_Toc29504"/>
      <w:r>
        <w:rPr>
          <w:rFonts w:hint="eastAsia" w:ascii="楷体" w:hAnsi="楷体" w:eastAsia="楷体"/>
          <w:b/>
          <w:bCs/>
          <w:color w:val="000000" w:themeColor="text1"/>
          <w14:textFill>
            <w14:solidFill>
              <w14:schemeClr w14:val="tx1"/>
            </w14:solidFill>
          </w14:textFill>
        </w:rPr>
        <w:t>畜禽养殖：鸡蛋近月相对弱势</w:t>
      </w:r>
      <w:bookmarkEnd w:id="36"/>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生猪现货价格延续涨势，全国主产区均价上涨0.17元至19.24元，生猪期价震荡偏强，除11月外各合约小幅收涨。对于生猪而言，考虑到各家机构数据均显示能繁母猪存栏已经触底回升，而由于仔猪养殖利润高企更早带动配种分娩率的提升，远期特别是明年供需趋于改善已是市场普遍预期，但对于今年下半年生猪供应恢复进度与现货走势节奏依然存在较大分歧。从新生仔猪数量来看，三季度生猪出栏量依然偏低，同比和环比仍有望继续下滑，而四季度生猪出栏则有望环比增加，甚至同比恢复，但需求则季节性改善。其中一个重要变量或在于出栏体重，这取决于市场心态变化和养殖户出栏节奏。在经历六月中旬以来的短暂回落之后，七月以来现货逐步震荡回升，并已经突破六月高点，这使得市场逐步意识到当前甚至三季度供应端紧张的现实，9月期价在现货基差带动下逐步震荡走强，考虑到标肥价差走弱，而冷冻库容下滑，这一情况有望得到延续。据此我们维持谨慎看多观点，建议投资者持有前期2409合约多单和正套组合。</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鸡蛋现货趋于稳定，主产区均价持平在4.46元/斤，主销区均价持平在4.64元/斤，鸡蛋期价整体弱势，8-12月出现较大幅度下跌。对于鸡蛋而言，虽然鸡蛋现货阶段性上涨，如五月中以来的鸡蛋现货超预期上涨，可以通过需求端增量即南方持续降雨带来蔬菜缺口继而催生鸡蛋阶段性补库来解释，但今年年后以来现货整体表现强于预期，应该更多源于供应端的因素，这可能源于春节前后补栏积极性下降而淘汰积极性上升，因当时蛋鸡苗价格处于历史低位，而多家机构数据均显示去年底以来蛋鸡淘汰量同比大幅增加。参考季节性规律来看，端午节后低点或已经出现，现货已经进入季节性上涨阶段，基于我们对鸡蛋供需格局特别是供应端的认知，倾向于现货有望实现甚至超过往年的季节性涨幅水平，这对应在近月合约，特别是旺季合约上。当然，由于现货价格带动养殖利润高企，这使得近期及其接下来补栏积极性回升，而淘汰积极性大幅下降，这使得后期供需有望趋于宽松，这对应在远期合约上。综上所述，我们维持谨慎看多观点，建议投资者持有旺季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9303"/>
      <w:r>
        <w:rPr>
          <w:rFonts w:hint="eastAsia" w:ascii="楷体" w:hAnsi="楷体" w:eastAsia="楷体"/>
          <w:b/>
          <w:bCs/>
          <w:color w:val="000000" w:themeColor="text1"/>
          <w14:textFill>
            <w14:solidFill>
              <w14:schemeClr w14:val="tx1"/>
            </w14:solidFill>
          </w14:textFill>
        </w:rPr>
        <w:t>白糖：区间波段式震荡整理</w:t>
      </w:r>
      <w:bookmarkEnd w:id="37"/>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隔夜外盘纽约原糖主力合约和伦敦白砂糖主力合约分别下跌0.76%和1.50%。据外电消息，巴西对外贸易秘书处( Secex ）公布的出口数据显示，巴西7月前三周出口糖213.58万吨，日均出口量为14.24万吨，较上年7月全月的日均出口量14.02万吨增加2%。上年7月全月出口量为294.42万吨。国内夜盘白糖主力合约上涨0.02%。国内在传统旺季的刚需驱使下，终端采购积极性增强，去库存进程加快，库存压力减轻，期价存在一定支撑。但外盘走势带动下，预计白糖震荡偏弱。</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3193"/>
      <w:r>
        <w:rPr>
          <w:rFonts w:hint="eastAsia" w:ascii="楷体" w:hAnsi="楷体" w:eastAsia="楷体"/>
          <w:b/>
          <w:bCs/>
          <w:color w:val="000000" w:themeColor="text1"/>
          <w14:textFill>
            <w14:solidFill>
              <w14:schemeClr w14:val="tx1"/>
            </w14:solidFill>
          </w14:textFill>
        </w:rPr>
        <w:t>棉花：预计郑棉偏弱震荡，逢低买入</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种植天气良好，优良率增加，隔夜外盘美棉主力下跌1.61%，失守70美分/磅的极重要关口。美国农业部（ USDA ）在每周作物生长报告中公布称，截至2024年7月21日当周，美国棉花优良率为53%，前一周为45%，上年同期为46%。当周，美国棉花结铃率为42%，上一周为27%，上年同期为34%，五年均值为34%。当周，美国棉花现蕾率为81%，上一周为64%，上年同期为74%，五年均值为76%。国内夜盘，郑棉主力下跌0.65%。国内部分纺织企业表示近期订单略有好转，但纱线价格指数尚未企稳，市场继续等待旺季的到来。</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5058"/>
      <w:r>
        <w:rPr>
          <w:rFonts w:hint="eastAsia" w:ascii="楷体" w:hAnsi="楷体" w:eastAsia="楷体"/>
          <w:b/>
          <w:bCs/>
          <w:color w:val="000000" w:themeColor="text1"/>
          <w14:textFill>
            <w14:solidFill>
              <w14:schemeClr w14:val="tx1"/>
            </w14:solidFill>
          </w14:textFill>
        </w:rPr>
        <w:t>蛋白粕：豆系持续反弹，菜系再度转跌</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主连上涨0.68%，根据USDA最新报告，7月18日当周美豆出口检验量327061吨，环比大增。美豆表现好转也促使豆粕价格持续反弹。但基本面表现依旧弱势，由于前期榨利表现不错，导致油厂前几个月的船期购买较多，到港量大，供应依旧宽松。菜系方面，菜籽旧作增产，国内三季度菜籽到港量维持高位。豆菜粕价差不断缩小，菜粕消费趋于减少。总体而言，上游油料供应依旧维持供强需弱局面，粕类弱势运行不改，菜系反弹回落，需警惕豆系反弹后回落。</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29081"/>
      <w:r>
        <w:rPr>
          <w:rFonts w:hint="eastAsia" w:ascii="楷体" w:hAnsi="楷体" w:eastAsia="楷体"/>
          <w:b/>
          <w:bCs/>
          <w:color w:val="000000" w:themeColor="text1"/>
          <w14:textFill>
            <w14:solidFill>
              <w14:schemeClr w14:val="tx1"/>
            </w14:solidFill>
          </w14:textFill>
        </w:rPr>
        <w:t>油脂类：棕油微跌，但跌幅有限</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主力上涨0.43%，菜油上涨0.46%，棕榈油下跌0.03%，油脂走势分化，棕油涨跌反复。截止2024年7月19日，三大油脂商业库存总量环比减少0.44%，同比减少9.05%，供应压力略微缓解。大豆丰产预期不变叠加原油回调，豆油偏弱运行；菜籽主产区加拿大、欧洲天气引发市场减产担忧，加之超跌反弹，菜油仍在上涨中；根据不同机构报告来看，棕榈油7月1日-7月20日出口量增近40%，马棕价格抗跌，但出口强劲意味着国内到港棕油增加，需求淡季持续累库。总体而言，油脂反弹因素并不是非常明确，预计期价震荡运行，暂观望。</w:t>
      </w:r>
    </w:p>
    <w:p>
      <w:pPr>
        <w:pStyle w:val="93"/>
        <w:spacing w:before="0" w:beforeAutospacing="0" w:after="60" w:afterAutospacing="0"/>
        <w:ind w:left="630" w:leftChars="30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1" w:name="_Toc1103"/>
      <w:r>
        <w:rPr>
          <w:rFonts w:hint="eastAsia" w:ascii="Times New Roman" w:hAnsi="Times New Roman" w:eastAsia="楷体"/>
          <w:b/>
          <w:color w:val="823C0B"/>
          <w:sz w:val="30"/>
          <w:szCs w:val="30"/>
        </w:rPr>
        <w:t>[指数]</w:t>
      </w:r>
      <w:bookmarkEnd w:id="41"/>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2" w:name="_Toc4163"/>
      <w:r>
        <w:rPr>
          <w:rFonts w:hint="eastAsia" w:ascii="Times New Roman" w:hAnsi="Times New Roman" w:eastAsia="楷体"/>
          <w:b/>
          <w:color w:val="000000" w:themeColor="text1"/>
          <w:sz w:val="24"/>
          <w:szCs w:val="24"/>
          <w14:textFill>
            <w14:solidFill>
              <w14:schemeClr w14:val="tx1"/>
            </w14:solidFill>
          </w14:textFill>
        </w:rPr>
        <w:t>集运指数（欧线）：现货回落多头情绪暂时停息，EC偏弱运行</w:t>
      </w:r>
      <w:bookmarkEnd w:id="42"/>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7月15日，SCFIS欧线指数环比上涨10.5%至6002.23点。7月19日，上海港出口至欧洲基本港市场运价（海运及海运附加费）为3542.44美元/TEU，较上期回落3.6%，再次下跌。短期内运输需求继续维持在高位，但由于中欧贸易面临政策不确定性的考验，即期市场订舱价格小幅回落。</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地缘方面，巴勒斯坦法塔赫和哈马斯在京谈判达成《北京宣言》以两国方案为基础，但整体对市场刺激不算太大。</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需求端来看，据研究机构ZEW发布的数据显示，欧元区7月ZEW经济景气指数为43.7，低于前值及市场预期。其中，德国7月ZEW经济景气指数降至 41.8，是四个月以来的最低水平，显示出欧洲经济复苏的前景并不稳固。</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总体来看，各大船司最新报价有所分化，SCFI指数连续回落，留意短期风险，建议投资者谨慎操作。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98426751"/>
      <w:bookmarkStart w:id="44" w:name="_Toc72481108"/>
      <w:bookmarkStart w:id="45" w:name="_Toc71212556"/>
      <w:bookmarkStart w:id="46" w:name="_Toc19667"/>
      <w:bookmarkStart w:id="47" w:name="_Toc12779"/>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2024年7月24日星期三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375C3E"/>
    <w:rsid w:val="01954D8D"/>
    <w:rsid w:val="02E32A5D"/>
    <w:rsid w:val="035D5749"/>
    <w:rsid w:val="03A507DC"/>
    <w:rsid w:val="04C17862"/>
    <w:rsid w:val="04E41B77"/>
    <w:rsid w:val="057D13AE"/>
    <w:rsid w:val="064116B8"/>
    <w:rsid w:val="064A667C"/>
    <w:rsid w:val="06B2613D"/>
    <w:rsid w:val="06B753E3"/>
    <w:rsid w:val="07321D04"/>
    <w:rsid w:val="08A51999"/>
    <w:rsid w:val="09B849A4"/>
    <w:rsid w:val="09F160E3"/>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32A04C1"/>
    <w:rsid w:val="1330029C"/>
    <w:rsid w:val="134E6356"/>
    <w:rsid w:val="13AE24B4"/>
    <w:rsid w:val="14D51A3C"/>
    <w:rsid w:val="15364A7C"/>
    <w:rsid w:val="15602ADB"/>
    <w:rsid w:val="15947E4C"/>
    <w:rsid w:val="15D52593"/>
    <w:rsid w:val="1626611D"/>
    <w:rsid w:val="16E2497F"/>
    <w:rsid w:val="17A736B0"/>
    <w:rsid w:val="197E6634"/>
    <w:rsid w:val="1B8A2034"/>
    <w:rsid w:val="1BC72FF7"/>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FA14A50"/>
    <w:rsid w:val="2FA70F17"/>
    <w:rsid w:val="30CB447B"/>
    <w:rsid w:val="32951C0D"/>
    <w:rsid w:val="32F131F1"/>
    <w:rsid w:val="33CE5AF4"/>
    <w:rsid w:val="340E7198"/>
    <w:rsid w:val="34A75784"/>
    <w:rsid w:val="3581551C"/>
    <w:rsid w:val="35947F79"/>
    <w:rsid w:val="35D65FDD"/>
    <w:rsid w:val="36C14F46"/>
    <w:rsid w:val="36C44D71"/>
    <w:rsid w:val="373F75CC"/>
    <w:rsid w:val="37C101D4"/>
    <w:rsid w:val="38F320AA"/>
    <w:rsid w:val="38FB27F3"/>
    <w:rsid w:val="39584559"/>
    <w:rsid w:val="399D40A5"/>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F271764"/>
    <w:rsid w:val="4F7D0512"/>
    <w:rsid w:val="4FAF4829"/>
    <w:rsid w:val="4FBA2B77"/>
    <w:rsid w:val="4FD46E6F"/>
    <w:rsid w:val="5005695E"/>
    <w:rsid w:val="50286811"/>
    <w:rsid w:val="50700F42"/>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8F0769"/>
    <w:rsid w:val="59C52328"/>
    <w:rsid w:val="5AD37D8A"/>
    <w:rsid w:val="5AF87BF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3735B47"/>
    <w:rsid w:val="63FF1EA7"/>
    <w:rsid w:val="64C32497"/>
    <w:rsid w:val="669D0EEA"/>
    <w:rsid w:val="66B64FC1"/>
    <w:rsid w:val="66C861F9"/>
    <w:rsid w:val="66D04BBC"/>
    <w:rsid w:val="67655BF9"/>
    <w:rsid w:val="678C3343"/>
    <w:rsid w:val="67C6389B"/>
    <w:rsid w:val="685D4EEE"/>
    <w:rsid w:val="68AE1587"/>
    <w:rsid w:val="68D53E8D"/>
    <w:rsid w:val="699C76C5"/>
    <w:rsid w:val="6A194855"/>
    <w:rsid w:val="6A2F056E"/>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2024-07-24T01:59:02Z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